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before="0" w:after="0" w:line="348" w:lineRule="auto"/>
        <w:jc w:val="both"/>
      </w:pPr>
    </w:p>
    <w:p>
      <w:pPr>
        <w:bidi w:val="1"/>
        <w:spacing w:before="0" w:after="40" w:line="348" w:lineRule="auto"/>
        <w:jc w:val="center"/>
      </w:pPr>
      <w:r>
        <w:rPr>
          <w:rFonts w:ascii="Arial" w:hAnsi="Arial" w:cs="Arial" w:eastAsia="Arial"/>
          <w:b/>
          <w:i w:val="0"/>
          <w:color w:val="142B45"/>
          <w:sz w:val="26"/>
          <w:szCs w:val="26"/>
          <w:rtl w:val="1"/>
        </w:rPr>
        <w:t>سلطنة عُمان</w:t>
      </w:r>
    </w:p>
    <w:p>
      <w:pPr>
        <w:bidi w:val="1"/>
        <w:spacing w:before="0" w:after="80" w:line="348" w:lineRule="auto"/>
        <w:jc w:val="center"/>
      </w:pPr>
      <w:r>
        <w:rPr>
          <w:rFonts w:ascii="Arial" w:hAnsi="Arial" w:cs="Arial" w:eastAsia="Arial"/>
          <w:b w:val="0"/>
          <w:i w:val="0"/>
          <w:color w:val="59626A"/>
          <w:sz w:val="22"/>
          <w:szCs w:val="22"/>
          <w:rtl w:val="1"/>
        </w:rPr>
        <w:t>وزارة الثروة الزراعية والسمكية وموارد المياه</w:t>
      </w:r>
    </w:p>
    <w:p>
      <w:pPr>
        <w:bidi w:val="1"/>
        <w:spacing w:before="0" w:after="360" w:line="348" w:lineRule="auto"/>
        <w:jc w:val="center"/>
      </w:pPr>
      <w:r>
        <w:rPr>
          <w:rFonts w:ascii="Arial" w:hAnsi="Arial" w:cs="Arial" w:eastAsia="Arial"/>
          <w:b w:val="0"/>
          <w:i w:val="0"/>
          <w:color w:val="59626A"/>
          <w:sz w:val="19"/>
          <w:szCs w:val="19"/>
          <w:rtl w:val="1"/>
        </w:rPr>
        <w:t>نظام التناقص الإلكتروني «إسناد»</w:t>
      </w:r>
    </w:p>
    <w:p>
      <w:pPr>
        <w:pBdr>
          <w:bottom w:val="single" w:sz="14" w:space="1" w:color="9C7B3F"/>
        </w:pBdr>
        <w:bidi w:val="1"/>
        <w:spacing w:before="0" w:after="480"/>
      </w:pPr>
    </w:p>
    <w:p>
      <w:pPr>
        <w:bidi w:val="1"/>
        <w:spacing w:before="0" w:after="40" w:line="240" w:lineRule="auto"/>
        <w:jc w:val="center"/>
      </w:pPr>
      <w:r>
        <w:rPr>
          <w:rFonts w:ascii="Arial" w:hAnsi="Arial" w:cs="Arial" w:eastAsia="Arial"/>
          <w:b/>
          <w:i w:val="0"/>
          <w:color w:val="142B45"/>
          <w:sz w:val="68"/>
          <w:szCs w:val="68"/>
          <w:rtl w:val="1"/>
        </w:rPr>
        <w:t>عرض مالي</w:t>
      </w:r>
    </w:p>
    <w:p>
      <w:pPr>
        <w:bidi w:val="1"/>
        <w:spacing w:before="0" w:after="320" w:line="348" w:lineRule="auto"/>
        <w:jc w:val="center"/>
      </w:pPr>
      <w:r>
        <w:rPr>
          <w:rFonts w:ascii="Arial" w:hAnsi="Arial" w:cs="Arial" w:eastAsia="Arial"/>
          <w:b w:val="0"/>
          <w:i w:val="0"/>
          <w:color w:val="9C7B3F"/>
          <w:sz w:val="21"/>
          <w:szCs w:val="21"/>
          <w:rtl w:val="1"/>
        </w:rPr>
        <w:t>COMMERCIAL PROPOSAL</w:t>
      </w:r>
    </w:p>
    <w:p>
      <w:pPr>
        <w:bidi w:val="1"/>
        <w:spacing w:before="0" w:after="240" w:line="360" w:lineRule="auto"/>
        <w:jc w:val="center"/>
      </w:pPr>
      <w:r>
        <w:rPr>
          <w:rFonts w:ascii="Arial" w:hAnsi="Arial" w:cs="Arial" w:eastAsia="Arial"/>
          <w:b/>
          <w:i w:val="0"/>
          <w:color w:val="1F252B"/>
          <w:sz w:val="30"/>
          <w:szCs w:val="30"/>
          <w:rtl w:val="1"/>
        </w:rPr>
        <w:t>تنفيذ أعمال الرش الجوي باستخدام طائرات مسيرة (طائرات بدون طيار) لمكافحة حشرة دوباس النخيل وآفات النخيل والمحاصيل الزراعية الأخرى</w:t>
      </w:r>
    </w:p>
    <w:p>
      <w:pPr>
        <w:bidi w:val="1"/>
        <w:spacing w:before="0" w:after="40" w:line="348" w:lineRule="auto"/>
        <w:jc w:val="center"/>
      </w:pPr>
      <w:r>
        <w:rPr>
          <w:rFonts w:ascii="Arial" w:hAnsi="Arial" w:cs="Arial" w:eastAsia="Arial"/>
          <w:b w:val="0"/>
          <w:i w:val="0"/>
          <w:color w:val="59626A"/>
          <w:sz w:val="23"/>
          <w:szCs w:val="23"/>
          <w:rtl w:val="1"/>
        </w:rPr>
        <w:t>مناقصة رقم 97513 — لسنة 2026م</w:t>
      </w:r>
    </w:p>
    <w:p>
      <w:pPr>
        <w:bidi w:val="1"/>
        <w:spacing w:before="0" w:after="600" w:line="348" w:lineRule="auto"/>
        <w:jc w:val="center"/>
      </w:pPr>
      <w:r>
        <w:rPr>
          <w:rFonts w:ascii="Arial" w:hAnsi="Arial" w:cs="Arial" w:eastAsia="Arial"/>
          <w:b w:val="0"/>
          <w:i w:val="0"/>
          <w:color w:val="59626A"/>
          <w:sz w:val="19"/>
          <w:szCs w:val="19"/>
          <w:rtl w:val="1"/>
        </w:rPr>
        <w:t>الفئات: 20,000–30,000  ·  30,001–40,000  ·  40,001–60,000 فدان</w:t>
      </w:r>
    </w:p>
    <w:p>
      <w:pPr>
        <w:pBdr>
          <w:bottom w:val="single" w:sz="6" w:space="1" w:color="9C7B3F"/>
        </w:pBdr>
        <w:bidi w:val="1"/>
        <w:spacing w:before="0" w:after="240"/>
      </w:pPr>
    </w:p>
    <w:tbl>
      <w:tblPr>
        <w:tblW w:type="auto" w:w="0"/>
        <w:tblLayout w:type="fixed"/>
        <w:tblLook w:firstColumn="1" w:firstRow="1" w:lastColumn="0" w:lastRow="0" w:noHBand="0" w:noVBand="1" w:val="04A0"/>
      </w:tblPr>
      <w:tblGrid>
        <w:gridCol w:w="4706"/>
        <w:gridCol w:w="4706"/>
      </w:tblGrid>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مقدّم العرض</w:t>
            </w:r>
          </w:p>
        </w:tc>
        <w:tc>
          <w:tcPr>
            <w:tcW w:type="dxa" w:w="6917"/>
            <w:shd w:val="clear" w:color="auto" w:fill="FFFFFF"/>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شركة المملكة للخدمات والاستثمار ش.م.م (Kingdom Services &amp; Investment LLC)</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الجهة صاحبة المشروع</w:t>
            </w:r>
          </w:p>
        </w:tc>
        <w:tc>
          <w:tcPr>
            <w:tcW w:type="dxa" w:w="6917"/>
            <w:shd w:val="clear" w:color="auto" w:fill="F2F5F8"/>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وزارة الثروة الزراعية والسمكية وموارد المياه — ص.ب 467، الرمز البريدي 100، مسقط</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نوع المستند</w:t>
            </w:r>
          </w:p>
        </w:tc>
        <w:tc>
          <w:tcPr>
            <w:tcW w:type="dxa" w:w="6917"/>
            <w:shd w:val="clear" w:color="auto" w:fill="FFFFFF"/>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العرض المالي (المغلف المالي) — يُقدَّم منفصلاً عن العرض الفني</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أساس التسعير</w:t>
            </w:r>
          </w:p>
        </w:tc>
        <w:tc>
          <w:tcPr>
            <w:tcW w:type="dxa" w:w="6917"/>
            <w:shd w:val="clear" w:color="auto" w:fill="F2F5F8"/>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سعر الفدان للمساحة الفعلية التي ثبت نجاح الرش فيها</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النطاق السعري</w:t>
            </w:r>
          </w:p>
        </w:tc>
        <w:tc>
          <w:tcPr>
            <w:tcW w:type="dxa" w:w="6917"/>
            <w:shd w:val="clear" w:color="auto" w:fill="FFFFFF"/>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ثلاث فئات × فترتا تعاقد (سنتان / ثلاث سنوات) = ستة بنود</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عملة العرض</w:t>
            </w:r>
          </w:p>
        </w:tc>
        <w:tc>
          <w:tcPr>
            <w:tcW w:type="dxa" w:w="6917"/>
            <w:shd w:val="clear" w:color="auto" w:fill="F2F5F8"/>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الريال العُماني، بثلاثة منازل عشرية</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صلاحية العرض</w:t>
            </w:r>
          </w:p>
        </w:tc>
        <w:tc>
          <w:tcPr>
            <w:tcW w:type="dxa" w:w="6917"/>
            <w:shd w:val="clear" w:color="auto" w:fill="FFFFFF"/>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90 يوماً من التاريخ المحدد لتقديم العطاءات</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ضمان حسن التنفيذ</w:t>
            </w:r>
          </w:p>
        </w:tc>
        <w:tc>
          <w:tcPr>
            <w:tcW w:type="dxa" w:w="6917"/>
            <w:shd w:val="clear" w:color="auto" w:fill="F2F5F8"/>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5% من إجمالي قيمة العقد، خلال عشرة أيام من الإخطار</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تاريخ الإصدار</w:t>
            </w:r>
          </w:p>
        </w:tc>
        <w:tc>
          <w:tcPr>
            <w:tcW w:type="dxa" w:w="6917"/>
            <w:shd w:val="clear" w:color="auto" w:fill="FFFFFF"/>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أكتوبر 2026م</w:t>
            </w:r>
          </w:p>
        </w:tc>
      </w:tr>
      <w:tr>
        <w:tc>
          <w:tcPr>
            <w:tcW w:type="dxa" w:w="2494"/>
            <w:shd w:val="clear" w:color="auto" w:fill="142B45"/>
            <w:tcMar>
              <w:top w:w="80" w:type="dxa"/>
              <w:bottom w:w="80" w:type="dxa"/>
              <w:left w:w="120" w:type="dxa"/>
              <w:right w:w="120" w:type="dxa"/>
            </w:tcMar>
          </w:tcPr>
          <w:p>
            <w:pPr>
              <w:bidi w:val="1"/>
              <w:spacing w:after="0" w:line="288" w:lineRule="auto"/>
              <w:jc w:val="right"/>
            </w:pPr>
            <w:r>
              <w:rPr>
                <w:rFonts w:ascii="Arial" w:hAnsi="Arial" w:cs="Arial" w:eastAsia="Arial"/>
                <w:b/>
                <w:i w:val="0"/>
                <w:color w:val="FFFFFF"/>
                <w:sz w:val="19"/>
                <w:szCs w:val="19"/>
                <w:rtl w:val="1"/>
              </w:rPr>
              <w:t>حالة المستند</w:t>
            </w:r>
          </w:p>
        </w:tc>
        <w:tc>
          <w:tcPr>
            <w:tcW w:type="dxa" w:w="6917"/>
            <w:shd w:val="clear" w:color="auto" w:fill="F2F5F8"/>
            <w:tcMar>
              <w:top w:w="80" w:type="dxa"/>
              <w:bottom w:w="80" w:type="dxa"/>
              <w:left w:w="120" w:type="dxa"/>
              <w:right w:w="120" w:type="dxa"/>
            </w:tcMar>
          </w:tcPr>
          <w:p>
            <w:pPr>
              <w:bidi w:val="1"/>
              <w:spacing w:after="0" w:line="288" w:lineRule="auto"/>
              <w:jc w:val="right"/>
            </w:pPr>
            <w:r>
              <w:rPr>
                <w:rFonts w:ascii="Arial" w:hAnsi="Arial" w:cs="Arial" w:eastAsia="Arial"/>
                <w:b w:val="0"/>
                <w:i w:val="0"/>
                <w:color w:val="1F252B"/>
                <w:sz w:val="19"/>
                <w:szCs w:val="19"/>
                <w:rtl w:val="1"/>
              </w:rPr>
              <w:t>نسخة للاعتماد الداخلي — الأسعار استرشادية حتى اعتماد الإدارة المالية</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142B45"/>
          <w:sz w:val="32"/>
          <w:szCs w:val="32"/>
          <w:rtl w:val="1"/>
        </w:rPr>
        <w:t>محتويات العرض</w:t>
      </w:r>
    </w:p>
    <w:p>
      <w:pPr>
        <w:bidi w:val="1"/>
        <w:spacing w:before="0" w:after="200" w:line="348" w:lineRule="auto"/>
        <w:jc w:val="both"/>
      </w:pPr>
      <w:r>
        <w:rPr>
          <w:rFonts w:ascii="Arial" w:hAnsi="Arial" w:cs="Arial" w:eastAsia="Arial"/>
          <w:b w:val="0"/>
          <w:i w:val="0"/>
          <w:color w:val="59626A"/>
          <w:sz w:val="20"/>
          <w:szCs w:val="20"/>
          <w:rtl w:val="1"/>
        </w:rPr>
        <w:t>يُقدَّم هذا المستند بوصفه المغلف المالي، منفصلاً عن العرض الفني، ويشرح أساس التسعير وحدوده والشروط التجارية التي بُني عليها، مع الإحالة إلى رقم البند وصفحته في كراسة الشروط والمواصفات كلما استند موقف تجاري إلى نص فيها.</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1247"/>
        <w:gridCol w:w="7030"/>
        <w:gridCol w:w="1134"/>
      </w:tblGrid>
      <w:tr>
        <w:trPr>
          <w:cantSplit/>
          <w:tblHeader/>
        </w:trPr>
        <w:tc>
          <w:tcPr>
            <w:tcW w:type="dxa" w:w="1247"/>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القسم</w:t>
            </w:r>
          </w:p>
        </w:tc>
        <w:tc>
          <w:tcPr>
            <w:tcW w:type="dxa" w:w="7030"/>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العنوان</w:t>
            </w:r>
          </w:p>
        </w:tc>
        <w:tc>
          <w:tcPr>
            <w:tcW w:type="dxa" w:w="113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الصفحة</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خ</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خطاب تقديم العرض المالي</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3</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الملخص التجاري التنفيذي</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4</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2</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فهم النطاق ومحركات التكلفة</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6</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3</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أساس التسعير والافتراضات</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7</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4</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جدول الأسعار وملخص القيمة</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9</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5</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القياس والمستخلصات وسلامة الاحتساب</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11</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6</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مصفوفة الامتثال للشروط التجارية</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12</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7</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الغرامات والتعويضات وأثرها على السعر</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13</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8</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المحتوى المحلي والمؤسسات الصغيرة والمتوسطة</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14</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9</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الضرائب والاستقطاعات</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14</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10</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الضمانات البنكية والتدفق النقدي</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15</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11</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المخاطر التجارية وتوزيعها</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15</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12</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استفسارات مطلوبة قبل التقديم</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16</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13</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قائمة تحقق المغلف المالي</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17</w:t>
            </w:r>
          </w:p>
        </w:tc>
      </w:tr>
      <w:tr>
        <w:trPr>
          <w:cantSplit/>
        </w:trPr>
        <w:tc>
          <w:tcPr>
            <w:tcW w:type="dxa" w:w="124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14</w:t>
            </w:r>
          </w:p>
        </w:tc>
        <w:tc>
          <w:tcPr>
            <w:tcW w:type="dxa" w:w="7030"/>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الإقرار والتوقيع</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17</w:t>
            </w:r>
          </w:p>
        </w:tc>
      </w:tr>
      <w:tr>
        <w:trPr>
          <w:cantSplit/>
        </w:trPr>
        <w:tc>
          <w:tcPr>
            <w:tcW w:type="dxa" w:w="124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أ</w:t>
            </w:r>
          </w:p>
        </w:tc>
        <w:tc>
          <w:tcPr>
            <w:tcW w:type="dxa" w:w="7030"/>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20"/>
                <w:szCs w:val="20"/>
                <w:rtl w:val="1"/>
              </w:rPr>
              <w:t>الملحق أ — تحليل بناء سعر الفدان (داخلي)</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20"/>
                <w:szCs w:val="20"/>
                <w:rtl w:val="1"/>
              </w:rPr>
              <w:t>18</w:t>
            </w:r>
          </w:p>
        </w:tc>
      </w:tr>
    </w:tbl>
    <w:p>
      <w:pPr>
        <w:bidi w:val="1"/>
        <w:spacing w:before="0" w:after="120" w:line="348" w:lineRule="auto"/>
        <w:jc w:val="both"/>
      </w:pPr>
      <w:r>
        <w:rPr>
          <w:rFonts w:ascii="Arial" w:hAnsi="Arial" w:cs="Arial" w:eastAsia="Arial"/>
          <w:b w:val="0"/>
          <w:i w:val="0"/>
          <w:color w:val="59626A"/>
          <w:sz w:val="17"/>
          <w:szCs w:val="17"/>
          <w:rtl w:val="1"/>
        </w:rPr>
        <w:t>تُحدَّث أرقام الصفحات آلياً عند كل إعادة إصدار للمستند.</w:t>
      </w:r>
    </w:p>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142B45"/>
          <w:sz w:val="32"/>
          <w:szCs w:val="32"/>
          <w:rtl w:val="1"/>
        </w:rPr>
        <w:t>خطاب تقديم العرض المالي</w:t>
      </w:r>
    </w:p>
    <w:p>
      <w:pPr>
        <w:bidi w:val="1"/>
        <w:spacing w:before="0" w:after="20" w:line="348" w:lineRule="auto"/>
        <w:jc w:val="both"/>
      </w:pPr>
      <w:r>
        <w:rPr>
          <w:rFonts w:ascii="Arial" w:hAnsi="Arial" w:cs="Arial" w:eastAsia="Arial"/>
          <w:b/>
          <w:i w:val="0"/>
          <w:color w:val="1F252B"/>
          <w:sz w:val="21"/>
          <w:szCs w:val="21"/>
          <w:rtl w:val="1"/>
        </w:rPr>
        <w:t>إلى سعادة الدكتور/ وكيل الوزارة للزراعة</w:t>
      </w:r>
    </w:p>
    <w:p>
      <w:pPr>
        <w:bidi w:val="1"/>
        <w:spacing w:before="0" w:after="160" w:line="348" w:lineRule="auto"/>
        <w:jc w:val="both"/>
      </w:pPr>
      <w:r>
        <w:rPr>
          <w:rFonts w:ascii="Arial" w:hAnsi="Arial" w:cs="Arial" w:eastAsia="Arial"/>
          <w:b w:val="0"/>
          <w:i w:val="0"/>
          <w:color w:val="59626A"/>
          <w:sz w:val="19"/>
          <w:szCs w:val="19"/>
          <w:rtl w:val="1"/>
        </w:rPr>
        <w:t>وزارة الثروة الزراعية والسمكية وموارد المياه — ص.ب 467، الرمز البريدي 100، مسقط، سلطنة عُمان</w:t>
      </w:r>
    </w:p>
    <w:p>
      <w:pPr>
        <w:bidi w:val="1"/>
        <w:spacing w:before="0" w:after="160" w:line="348" w:lineRule="auto"/>
        <w:jc w:val="both"/>
      </w:pPr>
      <w:r>
        <w:rPr>
          <w:rFonts w:ascii="Arial" w:hAnsi="Arial" w:cs="Arial" w:eastAsia="Arial"/>
          <w:b/>
          <w:i w:val="0"/>
          <w:color w:val="1F252B"/>
          <w:sz w:val="20"/>
          <w:szCs w:val="20"/>
          <w:rtl w:val="1"/>
        </w:rPr>
        <w:t>الموضوع: تقديم العرض المالي لمناقصة رقم 97513 — تنفيذ أعمال الرش الجوي باستخدام طائرات مسيرة (طائرات بدون طيار) لمكافحة حشرة دوباس النخيل وآفات النخيل والمحاصيل الزراعية الأخرى</w:t>
      </w:r>
    </w:p>
    <w:p>
      <w:pPr>
        <w:bidi w:val="1"/>
        <w:spacing w:before="0" w:after="120" w:line="348" w:lineRule="auto"/>
        <w:jc w:val="both"/>
      </w:pPr>
      <w:r>
        <w:rPr>
          <w:rFonts w:ascii="Arial" w:hAnsi="Arial" w:cs="Arial" w:eastAsia="Arial"/>
          <w:b w:val="0"/>
          <w:i w:val="0"/>
          <w:color w:val="1F252B"/>
          <w:sz w:val="21"/>
          <w:szCs w:val="21"/>
          <w:rtl w:val="1"/>
        </w:rPr>
        <w:t>سعادة الدكتور،</w:t>
      </w:r>
    </w:p>
    <w:p>
      <w:pPr>
        <w:bidi w:val="1"/>
        <w:spacing w:before="0" w:after="120" w:line="348" w:lineRule="auto"/>
        <w:jc w:val="both"/>
      </w:pPr>
      <w:r>
        <w:rPr>
          <w:rFonts w:ascii="Arial" w:hAnsi="Arial" w:cs="Arial" w:eastAsia="Arial"/>
          <w:b w:val="0"/>
          <w:i w:val="0"/>
          <w:color w:val="1F252B"/>
          <w:sz w:val="22"/>
          <w:szCs w:val="22"/>
          <w:rtl w:val="1"/>
        </w:rPr>
        <w:t>بالإشارة إلى دعوة المتناقصين الصادرة عن وزارتكم الكريمة، وبعد الإحاطة الكاملة بكراسة الشروط والمواصفات وملحقها رقم (1) الخاص بالمواصفات الفنية للطائرات، نتقدّم بعرضنا المالي للأعمال المذكورة أعلاه عبر نظام التناقص الإلكتروني «إسناد»، وفقاً للبند (2.1.9) من تعليمات المتناقصين.</w:t>
      </w:r>
    </w:p>
    <w:p>
      <w:pPr>
        <w:bidi w:val="1"/>
        <w:spacing w:before="0" w:after="120" w:line="348" w:lineRule="auto"/>
        <w:jc w:val="both"/>
      </w:pPr>
      <w:r>
        <w:rPr>
          <w:rFonts w:ascii="Arial" w:hAnsi="Arial" w:cs="Arial" w:eastAsia="Arial"/>
          <w:b w:val="0"/>
          <w:i w:val="0"/>
          <w:color w:val="1F252B"/>
          <w:sz w:val="22"/>
          <w:szCs w:val="22"/>
          <w:rtl w:val="1"/>
        </w:rPr>
        <w:t>يغطي هذا العرض الفئات الثلاث الواردة في قوائم الكميات (الصفحة 19) ولمدّتي التعاقد المعروضتين (سنتان وثلاث سنوات)، أي ستة بنود سعرية، ويُبنى على سعر الفدان الواحد للمساحة الفعلية التي ثبت نجاح أعمال الرش فيها وفق شهادة إتمام تنفيذ الأعمال، مع إقرارنا بأن أقل مساحة تُحتسب في الدفع هي الحد الأدنى المحدد لكل فئة، وأن أي مساحة إضافية تُطلب خارج ذلك تُحاسب بسعر الفدان نفسه المقدَّم في هذا العرض (البند ثالثاً/ب/3، الصفحة 22).</w:t>
      </w:r>
    </w:p>
    <w:p>
      <w:pPr>
        <w:bidi w:val="1"/>
        <w:spacing w:before="0" w:after="120" w:line="348" w:lineRule="auto"/>
        <w:jc w:val="both"/>
      </w:pPr>
      <w:r>
        <w:rPr>
          <w:rFonts w:ascii="Arial" w:hAnsi="Arial" w:cs="Arial" w:eastAsia="Arial"/>
          <w:b w:val="0"/>
          <w:i w:val="0"/>
          <w:color w:val="1F252B"/>
          <w:sz w:val="22"/>
          <w:szCs w:val="22"/>
          <w:rtl w:val="1"/>
        </w:rPr>
        <w:t>نؤكد صراحةً والتزاماً ببنود الكراسة: أن جميع الأسعار بالريال العُماني وبثلاثة منازل عشرية (البند 2.1.7)؛ وأنها ثابتة غير خاضعة لأي تغيير أو تقلّبات أسعار طوال فترة التعاقد (البند 2.1.10)؛ وأن العرض ساري لمدة تسعين (90) يوماً من التاريخ المحدد لتقديم العطاءات؛ وأن ضمان حسن التنفيذ سيكون بنسبة (5%) من إجمالي قيمة العقد ويُقدَّم خلال عشرة أيام من الإخطار الرسمي (البند 7.1.2/2، الصفحة 31)؛ وأننا نقرّ بسقف الغرامات البالغ (10%) من قيمة العقد (البند سادساً/4، الصفحة 25).</w:t>
      </w:r>
    </w:p>
    <w:p>
      <w:pPr>
        <w:bidi w:val="1"/>
        <w:spacing w:before="0" w:after="120" w:line="348" w:lineRule="auto"/>
        <w:jc w:val="both"/>
      </w:pPr>
      <w:r>
        <w:rPr>
          <w:rFonts w:ascii="Arial" w:hAnsi="Arial" w:cs="Arial" w:eastAsia="Arial"/>
          <w:b w:val="0"/>
          <w:i w:val="0"/>
          <w:color w:val="1F252B"/>
          <w:sz w:val="22"/>
          <w:szCs w:val="22"/>
          <w:rtl w:val="1"/>
        </w:rPr>
        <w:t>كما نؤكد أن هذا العرض خالٍ من أي قيود أو شروط أو تحفظات، التزاماً بالبند (2.1.11)؛ وأن أية استفسارات تجارية لدينا مرفوعة بصورة مستقلة عبر النظام قبل الموعد المحدد في البند (2.1.4)، ولا تُقرأ كتحفّظ على العرض. وقد أُدخلت الأسعار إلكترونياً في صفحة قوائم الكميات وفق البند (2.1.7)، ويُعتمد ما يُدخل في النظام عند أي اختلاف معالج في هذا المستند، وفق قواعد تصحيح الأخطاء الحسابية في البند (2.1.15).</w:t>
      </w:r>
    </w:p>
    <w:p>
      <w:pPr>
        <w:bidi w:val="1"/>
        <w:spacing w:before="0" w:after="120" w:line="348" w:lineRule="auto"/>
        <w:jc w:val="both"/>
      </w:pPr>
      <w:r>
        <w:rPr>
          <w:rFonts w:ascii="Arial" w:hAnsi="Arial" w:cs="Arial" w:eastAsia="Arial"/>
          <w:b/>
          <w:i w:val="0"/>
          <w:color w:val="1F252B"/>
          <w:sz w:val="20"/>
          <w:szCs w:val="20"/>
          <w:rtl w:val="1"/>
        </w:rPr>
        <w:t>القيمة الإجمالية للعرض: 1,614,032.100 ريالاً عُمانياً للفئات الثلاث مجتمعة على مدى سنتين، و2,421,048.150 ريالاً عُمانياً على مدى ثلاث سنوات، وذلك قبل ضريبة القيمة المضافة البالغة (5%) على البنود الخاضعة لها. وتُعتمد القيم المفصلة لكل فئة في القسم (4) من هذا العرض، ويجوز للوزارة إسناد الفئات منفردة أو مجتمعة وفق البند (2.1.9).</w:t>
      </w:r>
    </w:p>
    <w:p>
      <w:pPr>
        <w:bidi w:val="1"/>
        <w:spacing w:before="0" w:after="200" w:line="348" w:lineRule="auto"/>
        <w:jc w:val="both"/>
      </w:pPr>
      <w:r>
        <w:rPr>
          <w:rFonts w:ascii="Arial" w:hAnsi="Arial" w:cs="Arial" w:eastAsia="Arial"/>
          <w:b w:val="0"/>
          <w:i w:val="0"/>
          <w:color w:val="1F252B"/>
          <w:sz w:val="22"/>
          <w:szCs w:val="22"/>
          <w:rtl w:val="1"/>
        </w:rPr>
        <w:t>ونضع أنفسنا تحت تصرفكم لتقديم أي إيضاح أو تحليل تفصيلي لأسعار الوحدات ترونه لازماً وفق البند (2.1.18).</w:t>
      </w:r>
    </w:p>
    <w:p>
      <w:pPr>
        <w:bidi w:val="1"/>
        <w:spacing w:before="0" w:after="280" w:line="348" w:lineRule="auto"/>
        <w:jc w:val="both"/>
      </w:pPr>
      <w:r>
        <w:rPr>
          <w:rFonts w:ascii="Arial" w:hAnsi="Arial" w:cs="Arial" w:eastAsia="Arial"/>
          <w:b w:val="0"/>
          <w:i w:val="0"/>
          <w:color w:val="1F252B"/>
          <w:sz w:val="22"/>
          <w:szCs w:val="22"/>
          <w:rtl w:val="1"/>
        </w:rPr>
        <w:t>وتفضلوا بقبول فائق الاحترام والتقدير.</w:t>
      </w:r>
    </w:p>
    <w:p>
      <w:pPr>
        <w:bidi w:val="1"/>
        <w:spacing w:before="0" w:after="40" w:line="348" w:lineRule="auto"/>
        <w:jc w:val="right"/>
      </w:pPr>
      <w:r>
        <w:rPr>
          <w:rFonts w:ascii="Arial" w:hAnsi="Arial" w:cs="Arial" w:eastAsia="Arial"/>
          <w:b/>
          <w:i w:val="0"/>
          <w:color w:val="1F252B"/>
          <w:sz w:val="21"/>
          <w:szCs w:val="21"/>
          <w:rtl w:val="1"/>
        </w:rPr>
        <w:t>شركة المملكة للخدمات والاستثمار ش.م.م (Kingdom Services &amp; Investment LLC)</w:t>
      </w:r>
    </w:p>
    <w:p>
      <w:pPr>
        <w:bidi w:val="1"/>
        <w:spacing w:before="0" w:after="160" w:line="348" w:lineRule="auto"/>
        <w:jc w:val="both"/>
      </w:pPr>
      <w:r>
        <w:rPr>
          <w:rFonts w:ascii="Arial" w:hAnsi="Arial" w:cs="Arial" w:eastAsia="Arial"/>
          <w:b w:val="0"/>
          <w:i w:val="0"/>
          <w:color w:val="59626A"/>
          <w:sz w:val="18"/>
          <w:szCs w:val="18"/>
          <w:rtl w:val="1"/>
        </w:rPr>
        <w:t>ص.ب 523، الرمز البريدي 121، مسقط — هاتف ‎+968 98935570‎ — support@kingdom.com.om</w:t>
      </w:r>
    </w:p>
    <w:p>
      <w:pPr>
        <w:bidi w:val="1"/>
        <w:spacing w:before="0" w:after="0" w:line="348" w:lineRule="auto"/>
        <w:jc w:val="both"/>
      </w:pPr>
      <w:r>
        <w:rPr>
          <w:rFonts w:ascii="Arial" w:hAnsi="Arial" w:cs="Arial" w:eastAsia="Arial"/>
          <w:b w:val="0"/>
          <w:i w:val="0"/>
          <w:color w:val="59626A"/>
          <w:sz w:val="19"/>
          <w:szCs w:val="19"/>
          <w:rtl w:val="1"/>
        </w:rPr>
        <w:t>الاسم: ______________________    الصفة: ______________________    التوقيع والختم: ______________________</w:t>
      </w:r>
    </w:p>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1   </w:t>
      </w:r>
      <w:r>
        <w:rPr>
          <w:rFonts w:ascii="Arial" w:hAnsi="Arial" w:cs="Arial" w:eastAsia="Arial"/>
          <w:b/>
          <w:i w:val="0"/>
          <w:color w:val="142B45"/>
          <w:sz w:val="32"/>
          <w:szCs w:val="32"/>
          <w:rtl w:val="1"/>
        </w:rPr>
        <w:t>الملخص التجاري التنفيذي</w:t>
      </w:r>
    </w:p>
    <w:p>
      <w:pPr>
        <w:bidi w:val="1"/>
        <w:spacing w:before="0" w:after="120" w:line="348" w:lineRule="auto"/>
        <w:jc w:val="both"/>
      </w:pPr>
      <w:r>
        <w:rPr>
          <w:rFonts w:ascii="Arial" w:hAnsi="Arial" w:cs="Arial" w:eastAsia="Arial"/>
          <w:b w:val="0"/>
          <w:i w:val="0"/>
          <w:color w:val="1F252B"/>
          <w:sz w:val="22"/>
          <w:szCs w:val="22"/>
          <w:rtl w:val="1"/>
        </w:rPr>
        <w:t>تطلب الوزارة تنفيذ برنامج رش جوي بالطائرات المسيرة على مساحات تتراوح بين عشرين ألفاً وستين ألف فدان، موزّعة على فئات ثلاث، ولمدة تعاقد سنتين أو ثلاث سنوات، لمكافحة حشرة دوباس النخيل وآفات النخيل والمحاصيل الزراعية الأخرى. وهو عمل موسمي مكثّف، عالي المخاطر التشغيلية، يُنفَّذ فوق بساتين متفرقة في ولايات وأودية جبلية، ويُقاس نجاحه بمعيار فني واحد لا يقبل التأويل: كثافة ترسيب قطيرات المبيد على أوراق التقييم بين 15 و30 قطيرة في السنتيمتر المربع، بمتوسط حجمي بين 80 و120 ميكرون، مع تحقيق نسبة إبادة لا تقل عن 90%.</w:t>
      </w:r>
    </w:p>
    <w:p>
      <w:pPr>
        <w:bidi w:val="1"/>
        <w:spacing w:before="0" w:after="120" w:line="348" w:lineRule="auto"/>
        <w:jc w:val="both"/>
      </w:pPr>
      <w:r>
        <w:rPr>
          <w:rFonts w:ascii="Arial" w:hAnsi="Arial" w:cs="Arial" w:eastAsia="Arial"/>
          <w:b w:val="0"/>
          <w:i w:val="0"/>
          <w:color w:val="1F252B"/>
          <w:sz w:val="22"/>
          <w:szCs w:val="22"/>
          <w:rtl w:val="1"/>
        </w:rPr>
        <w:t>بُني هذا العرض على ثلاثة مبادئ تجارية. الأول أن السعر يُدفع مقابل مساحة ثبت نجاح الرش فيها، لا مقابل جهد مبذول: فالمستخلص لا يُستحق إلا بموجب شهادة إتمام تنفيذ الأعمال الصادرة عن الوزارة، وبعد تقييم فني نهائي غير قابل للطعن. والثاني أن كلفة البرنامج محكومة بعناصر ثابتة لا تتغيّر بتغيّر المساحة داخل حدود الفئة — أسطول لا يقل عن عشرين طائرة، وعشر فرق تشغيلية بعمانية كاملة (30 فرداً)، وسبع عشرة سيارة دفع رباعي، وإشراف فني وهندسي على مدار العام — ولذلك ينخفض سعر الفدان كلما اتجهنا إلى الفئة الأعلى. والثالث أن المبيدات تقدّمها الوزارة، فلم تُدرج قيمتها في السعر، ولم تُدرج معها أي هامش ربح عليها.</w:t>
      </w:r>
    </w:p>
    <w:p>
      <w:pPr>
        <w:bidi w:val="1"/>
        <w:spacing w:before="0" w:after="120" w:line="348" w:lineRule="auto"/>
        <w:jc w:val="both"/>
      </w:pPr>
      <w:r>
        <w:rPr>
          <w:rFonts w:ascii="Arial" w:hAnsi="Arial" w:cs="Arial" w:eastAsia="Arial"/>
          <w:b w:val="0"/>
          <w:i w:val="0"/>
          <w:color w:val="1F252B"/>
          <w:sz w:val="22"/>
          <w:szCs w:val="22"/>
          <w:rtl w:val="1"/>
        </w:rPr>
        <w:t>نقدّم سعراً واحداً ثابتاً لكل فئة، لا يتغيّر بين السنة الأولى والسنة الثالثة، ولا يرتفع مع التضخم أو أسعار الوقود أو قطع الغيار، التزاماً بنص البند (2.1.10) الذي يشترط ثبات الأسعار طوال فترة التعاقد. وقد سُعّرت المخاطر التي نتحمّلها فعلياً — إعادة الرش على حسابنا في المساحات التي تقل كثافة الترسيب فيها عن الحد الأدنى، وخصم مساحة القرى الفاشلة من المستخلص، وغرامة التوقف والغرامة اليومية على الأعطال — داخل سعر الفدان بدلاً من تحميلها بنوداً منفصلة.</w:t>
      </w:r>
    </w:p>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أرقام العرض في سطر واحد</w:t>
            </w:r>
          </w:p>
          <w:p>
            <w:pPr>
              <w:bidi w:val="1"/>
              <w:spacing w:after="0" w:line="324" w:lineRule="auto"/>
              <w:jc w:val="both"/>
            </w:pPr>
            <w:r>
              <w:rPr>
                <w:rFonts w:ascii="Arial" w:hAnsi="Arial" w:cs="Arial" w:eastAsia="Arial"/>
                <w:b w:val="0"/>
                <w:i w:val="0"/>
                <w:color w:val="1F252B"/>
                <w:sz w:val="19"/>
                <w:szCs w:val="19"/>
                <w:rtl w:val="1"/>
              </w:rPr>
              <w:t>ستة بنود سعرية (3 فئات × سنتين/ثلاث سنوات) · سعر الفدان من 7.050 إلى 12.750 ريالاً عُمانياً · لا دفعة مقدمة ولا بند تعبئة منفصل · صلاحية العرض 90 يوماً · ضمان حسن تنفيذ 5% · ضريبة القيمة المضافة 5% تُعرض منفصلة · سقف الغرامات 10% من قيمة العقد · مسؤولية المبيدات على الوزارة.</w:t>
            </w:r>
          </w:p>
        </w:tc>
      </w:tr>
    </w:tbl>
    <w:p>
      <w:pPr>
        <w:keepNext/>
        <w:bidi w:val="1"/>
        <w:spacing w:before="280" w:after="80" w:line="288" w:lineRule="auto"/>
        <w:jc w:val="both"/>
      </w:pPr>
      <w:r>
        <w:rPr>
          <w:rFonts w:ascii="Arial" w:hAnsi="Arial" w:cs="Arial" w:eastAsia="Arial"/>
          <w:b/>
          <w:i w:val="0"/>
          <w:color w:val="142B45"/>
          <w:sz w:val="25"/>
          <w:szCs w:val="25"/>
          <w:rtl w:val="1"/>
        </w:rPr>
        <w:t>1.1 موقع هذا العرض من العرض الفني</w:t>
      </w:r>
    </w:p>
    <w:p>
      <w:pPr>
        <w:bidi w:val="1"/>
        <w:spacing w:before="0" w:after="120" w:line="348" w:lineRule="auto"/>
        <w:jc w:val="both"/>
      </w:pPr>
      <w:r>
        <w:rPr>
          <w:rFonts w:ascii="Arial" w:hAnsi="Arial" w:cs="Arial" w:eastAsia="Arial"/>
          <w:b w:val="0"/>
          <w:i w:val="0"/>
          <w:color w:val="1F252B"/>
          <w:sz w:val="22"/>
          <w:szCs w:val="22"/>
          <w:rtl w:val="1"/>
        </w:rPr>
        <w:t>العرض الفني يشرح كيف نُنفّذ، وهذا العرض يشرح بماذا نلتزم مالياً. وقد حُرص على أن يكون كل بند تجاري هنا قابلاً للتتبّع إلى نص في الكراسة، حتى لا يبقى مجال لتفسيرين عند التقييم: فما ورد في هذه الصفحات ليس عرضاً عاماً للخدمات، بل التزام محدد بسعر محدد على مساحة محددة وفق معيار قياس محدد. ولا يتضمّن المستند أي بند احتياطي أو سعر مشروط أو خيار غير مسعّر.</w:t>
      </w:r>
    </w:p>
    <w:p>
      <w:pPr>
        <w:keepNext/>
        <w:bidi w:val="1"/>
        <w:spacing w:before="280" w:after="80" w:line="288" w:lineRule="auto"/>
        <w:jc w:val="both"/>
      </w:pPr>
      <w:r>
        <w:rPr>
          <w:rFonts w:ascii="Arial" w:hAnsi="Arial" w:cs="Arial" w:eastAsia="Arial"/>
          <w:b/>
          <w:i w:val="0"/>
          <w:color w:val="142B45"/>
          <w:sz w:val="25"/>
          <w:szCs w:val="25"/>
          <w:rtl w:val="1"/>
        </w:rPr>
        <w:t>1.2 بيانات أساسية موثّقة من الكراسة</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2041"/>
        <w:gridCol w:w="6009"/>
        <w:gridCol w:w="1361"/>
      </w:tblGrid>
      <w:tr>
        <w:trPr>
          <w:cantSplit/>
          <w:tblHeader/>
        </w:trPr>
        <w:tc>
          <w:tcPr>
            <w:tcW w:type="dxa" w:w="204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الموضوع</w:t>
            </w:r>
          </w:p>
        </w:tc>
        <w:tc>
          <w:tcPr>
            <w:tcW w:type="dxa" w:w="6009"/>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ما تنص عليه الكراسة</w:t>
            </w:r>
          </w:p>
        </w:tc>
        <w:tc>
          <w:tcPr>
            <w:tcW w:type="dxa" w:w="136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المرجع</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رقم المناقصة</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97513 — يُطابق مع إعلان المناقصة في نظام «إسناد» قبل التقديم</w:t>
            </w:r>
          </w:p>
        </w:tc>
        <w:tc>
          <w:tcPr>
            <w:tcW w:type="dxa" w:w="136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مرجع ملف المناقصة</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حجم الأسطول</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لا يقل عن عشرين (20) طائرة مسيرة جاهزة للتشغيل، وخبرة لا تقل عن خمس سنوات</w:t>
            </w:r>
          </w:p>
        </w:tc>
        <w:tc>
          <w:tcPr>
            <w:tcW w:type="dxa" w:w="136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ثالثاً/أ، ص 21–22</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الطاقم</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طاقم عماني 100% من 30 فرداً: عشر فرق، كل فريق ثلاثة أفراد</w:t>
            </w:r>
          </w:p>
        </w:tc>
        <w:tc>
          <w:tcPr>
            <w:tcW w:type="dxa" w:w="136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ثالثاً/أ/3، ص 22</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السيارات</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17 سيارة دفع رباعي مغلقة، لمدة شهرين، ووقود لا يقل عن 1000 لتر لكل سيارة</w:t>
            </w:r>
          </w:p>
        </w:tc>
        <w:tc>
          <w:tcPr>
            <w:tcW w:type="dxa" w:w="136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ثالثاً/أ/9، ص 22</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المبيدات</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توفّرها الوزارة بعد فحصها مختبرياً، لجميع المساحات المطلوبة</w:t>
            </w:r>
          </w:p>
        </w:tc>
        <w:tc>
          <w:tcPr>
            <w:tcW w:type="dxa" w:w="136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رابعاً/أ/1، ص 23</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معيار النجاح</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كثافة 15–30 قطيرة/سم²، ومتوسط حجمي 80–120 ميكرون، وإبادة لا تقل عن 90%</w:t>
            </w:r>
          </w:p>
        </w:tc>
        <w:tc>
          <w:tcPr>
            <w:tcW w:type="dxa" w:w="136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ثالثاً/ب/5، ص 22–23</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القياس والدفع</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شهادة إتمام خلال 45 يوماً، وسداد خلال 60 يوماً من إصدارها</w:t>
            </w:r>
          </w:p>
        </w:tc>
        <w:tc>
          <w:tcPr>
            <w:tcW w:type="dxa" w:w="136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رابعاً، ص 24</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الغرامات</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0.5% يومياً عند التوقف، و1% يومياً عند عطل الأجهزة بعد ثلاثة أيام، بسقف 10%</w:t>
            </w:r>
          </w:p>
        </w:tc>
        <w:tc>
          <w:tcPr>
            <w:tcW w:type="dxa" w:w="136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سادساً/2–4، ص 25</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ضمان حسن التنفيذ</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5% من إجمالي قيمة العقد، خلال عشرة أيام من الإخطار</w:t>
            </w:r>
          </w:p>
        </w:tc>
        <w:tc>
          <w:tcPr>
            <w:tcW w:type="dxa" w:w="136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7.1.2/2، ص 31</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صلاحية العرض</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90 يوماً من التاريخ المحدد لتقديم العطاءات</w:t>
            </w:r>
          </w:p>
        </w:tc>
        <w:tc>
          <w:tcPr>
            <w:tcW w:type="dxa" w:w="136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2.1.10، ص 8</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الضريبة</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5% على البنود الخاضعة، تُعرض في ملخص الأسعار منفصلة</w:t>
            </w:r>
          </w:p>
        </w:tc>
        <w:tc>
          <w:tcPr>
            <w:tcW w:type="dxa" w:w="136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ص 19</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الاستقطاع</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1.2% من قيمة الفواتير لدعم التشغيل والتدريب</w:t>
            </w:r>
          </w:p>
        </w:tc>
        <w:tc>
          <w:tcPr>
            <w:tcW w:type="dxa" w:w="136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6.1/6، ص 20</w:t>
            </w:r>
          </w:p>
        </w:tc>
      </w:tr>
    </w:tbl>
    <w:p>
      <w:r>
        <w:br w:type="page"/>
      </w:r>
    </w:p>
    <w:p>
      <w:pPr>
        <w:keepNext/>
        <w:pBdr>
          <w:bottom w:val="single" w:sz="8" w:space="4" w:color="9C7B3F"/>
        </w:pBdr>
        <w:bidi w:val="1"/>
        <w:spacing w:before="360" w:after="40" w:line="276" w:lineRule="auto"/>
        <w:jc w:val="both"/>
        <w:outlineLvl w:val="0"/>
      </w:pPr>
      <w:r>
        <w:rPr>
          <w:rFonts w:ascii="Arial" w:hAnsi="Arial" w:cs="Arial" w:eastAsia="Arial"/>
          <w:b/>
          <w:i w:val="0"/>
          <w:color w:val="9C7B3F"/>
          <w:sz w:val="30"/>
          <w:szCs w:val="30"/>
          <w:rtl w:val="1"/>
        </w:rPr>
        <w:t xml:space="preserve">2   </w:t>
      </w:r>
      <w:r>
        <w:rPr>
          <w:rFonts w:ascii="Arial" w:hAnsi="Arial" w:cs="Arial" w:eastAsia="Arial"/>
          <w:b/>
          <w:i w:val="0"/>
          <w:color w:val="142B45"/>
          <w:sz w:val="32"/>
          <w:szCs w:val="32"/>
          <w:rtl w:val="1"/>
        </w:rPr>
        <w:t>فهم النطاق ومحركات التكلفة</w:t>
      </w:r>
    </w:p>
    <w:p>
      <w:pPr>
        <w:bidi w:val="1"/>
        <w:spacing w:before="0" w:after="120" w:line="348" w:lineRule="auto"/>
        <w:jc w:val="both"/>
      </w:pPr>
      <w:r>
        <w:rPr>
          <w:rFonts w:ascii="Arial" w:hAnsi="Arial" w:cs="Arial" w:eastAsia="Arial"/>
          <w:b w:val="0"/>
          <w:i w:val="0"/>
          <w:color w:val="1F252B"/>
          <w:sz w:val="22"/>
          <w:szCs w:val="22"/>
          <w:rtl w:val="1"/>
        </w:rPr>
        <w:t>الطائرة المسيرة المطلوبة ليست أداة صغيرة الحجم: خزان مبيدات بسعة سبعين لتراً، وحمولة تصل إلى تسعين كيلوغراماً، وعرض مجرى رش بين أحد عشر واثني عشر متراً، وإنتاجية بين 50.4 و60 فداناً في الساعة لكل طائرة وفق الملحق رقم (1). وبحساب بسيط، فإن عشرين طائرة تعمل معاً تغطي ما بين 1,008 و1,200 فدان في الساعة الطيران الفعلية، أي أن عشرين ألف فدان لا تمثل أكثر من سبعة عشر إلى عشرين ساعة طيران تراكمية. والاستنتاج التجاري المهم هنا هو أن المساحة ليست قيد التنفيذ؛ القيد الحقيقي هو اللوجستيات والتضاريس والطقس وجودة الترسيب.</w:t>
      </w:r>
    </w:p>
    <w:p>
      <w:pPr>
        <w:bidi w:val="1"/>
        <w:spacing w:before="0" w:after="120" w:line="348" w:lineRule="auto"/>
        <w:jc w:val="both"/>
      </w:pPr>
      <w:r>
        <w:rPr>
          <w:rFonts w:ascii="Arial" w:hAnsi="Arial" w:cs="Arial" w:eastAsia="Arial"/>
          <w:b w:val="0"/>
          <w:i w:val="0"/>
          <w:color w:val="1F252B"/>
          <w:sz w:val="22"/>
          <w:szCs w:val="22"/>
          <w:rtl w:val="1"/>
        </w:rPr>
        <w:t>هذا الفارق بين الطاقة النظرية والواقع الميداني هو ما يحدد هيكل السعر. فالطائرة لا تعمل في فراغ: تعمل في أودية جبلية متفرقة، ويجب نقلها بين قرية وأخرى، ومعايرتها قبل البدء تحت إشراف مختصي الوزارة، وتشغيلها من شروق الشمس وبما لا يزيد ارتفاعه عن ثلاثة أمتار فوق قمم النخيل، مع توقف إلزامي عند تجاوز الرياح خمسة عشر كيلومتراً في الساعة، أو انخفاض الرطوبة عن 30%، أو تجاوز الحرارة 36 درجة، أو عند سقوط المطر. أي أن أيام العمل الفعلية أقل من أيام التقويم، والتكلفة الثابتة تُوزّع على أيام عمل أقل.</w:t>
      </w:r>
    </w:p>
    <w:p>
      <w:pPr>
        <w:bidi w:val="1"/>
        <w:spacing w:before="0" w:after="120" w:line="348" w:lineRule="auto"/>
        <w:jc w:val="both"/>
      </w:pPr>
      <w:r>
        <w:rPr>
          <w:rFonts w:ascii="Arial" w:hAnsi="Arial" w:cs="Arial" w:eastAsia="Arial"/>
          <w:b w:val="0"/>
          <w:i w:val="0"/>
          <w:color w:val="1F252B"/>
          <w:sz w:val="22"/>
          <w:szCs w:val="22"/>
          <w:rtl w:val="1"/>
        </w:rPr>
        <w:t>ويضاف إلى ذلك عبء الإثبات: تسليم بيانات جهاز تحديد مسار الرش المثبت في كل طائرة يومياً، وتوفير البرامج اللازمة لقراءة تلك البيانات، وتنسيق يومي مع قيادة عمليات سلاح الجو السلطاني ورئاسة الأركان والأرصاد الجوية وأبراج المراقبة، والتقيد بنظم الطيران المدني (CAR 127). وهذه ليست بنوداً إدارية هامشية؛ هي ساعات عمل مهندسين وفنيين ومسؤولي امتثال تُدفع تكلفتها بالكامل من سعر الفدان، ولا تُفوتر للوزارة على حدة.</w:t>
      </w:r>
    </w:p>
    <w:p>
      <w:pPr>
        <w:keepNext/>
        <w:bidi w:val="1"/>
        <w:spacing w:before="280" w:after="80" w:line="288" w:lineRule="auto"/>
        <w:jc w:val="both"/>
      </w:pPr>
      <w:r>
        <w:rPr>
          <w:rFonts w:ascii="Arial" w:hAnsi="Arial" w:cs="Arial" w:eastAsia="Arial"/>
          <w:b/>
          <w:i w:val="0"/>
          <w:color w:val="142B45"/>
          <w:sz w:val="25"/>
          <w:szCs w:val="25"/>
          <w:rtl w:val="1"/>
        </w:rPr>
        <w:t>2.1 محركات التكلفة واتجاه أثرها على سعر الفدان</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2721"/>
        <w:gridCol w:w="2381"/>
        <w:gridCol w:w="4309"/>
      </w:tblGrid>
      <w:tr>
        <w:trPr>
          <w:cantSplit/>
          <w:tblHeader/>
        </w:trPr>
        <w:tc>
          <w:tcPr>
            <w:tcW w:type="dxa" w:w="272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المحرك</w:t>
            </w:r>
          </w:p>
        </w:tc>
        <w:tc>
          <w:tcPr>
            <w:tcW w:type="dxa" w:w="238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طبيعته</w:t>
            </w:r>
          </w:p>
        </w:tc>
        <w:tc>
          <w:tcPr>
            <w:tcW w:type="dxa" w:w="4309"/>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أثره على سعر الفدان</w:t>
            </w:r>
          </w:p>
        </w:tc>
      </w:tr>
      <w:tr>
        <w:trPr>
          <w:cantSplit/>
        </w:trPr>
        <w:tc>
          <w:tcPr>
            <w:tcW w:type="dxa" w:w="272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الأسطول (20 طائرة كحد أدنى)</w:t>
            </w:r>
          </w:p>
        </w:tc>
        <w:tc>
          <w:tcPr>
            <w:tcW w:type="dxa" w:w="238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كلفة رأسمالية ثابتة</w:t>
            </w:r>
          </w:p>
        </w:tc>
        <w:tc>
          <w:tcPr>
            <w:tcW w:type="dxa" w:w="43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يرتفع سعر الفدان في الفئة الصغيرة حيث تُوزّع الكلفة على مساحة أقل</w:t>
            </w:r>
          </w:p>
        </w:tc>
      </w:tr>
      <w:tr>
        <w:trPr>
          <w:cantSplit/>
        </w:trPr>
        <w:tc>
          <w:tcPr>
            <w:tcW w:type="dxa" w:w="272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الطاقم العماني (30 فرداً في 10 فرق)</w:t>
            </w:r>
          </w:p>
        </w:tc>
        <w:tc>
          <w:tcPr>
            <w:tcW w:type="dxa" w:w="238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كلفة أجور ثابتة موسمية</w:t>
            </w:r>
          </w:p>
        </w:tc>
        <w:tc>
          <w:tcPr>
            <w:tcW w:type="dxa" w:w="43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لا تنخفض بانخفاض المساحة؛ تُوزّع على المساحة المُرَشّة</w:t>
            </w:r>
          </w:p>
        </w:tc>
      </w:tr>
      <w:tr>
        <w:trPr>
          <w:cantSplit/>
        </w:trPr>
        <w:tc>
          <w:tcPr>
            <w:tcW w:type="dxa" w:w="272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السيارات (17 سيارة لمدة شهرين)</w:t>
            </w:r>
          </w:p>
        </w:tc>
        <w:tc>
          <w:tcPr>
            <w:tcW w:type="dxa" w:w="238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كلفة إيجار ووقود ثابتة</w:t>
            </w:r>
          </w:p>
        </w:tc>
        <w:tc>
          <w:tcPr>
            <w:tcW w:type="dxa" w:w="43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تؤثر بقوة في الفئات الصغيرة، وتضمحل نسبياً في الفئة الثالثة</w:t>
            </w:r>
          </w:p>
        </w:tc>
      </w:tr>
      <w:tr>
        <w:trPr>
          <w:cantSplit/>
        </w:trPr>
        <w:tc>
          <w:tcPr>
            <w:tcW w:type="dxa" w:w="272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التضاريس والأودية</w:t>
            </w:r>
          </w:p>
        </w:tc>
        <w:tc>
          <w:tcPr>
            <w:tcW w:type="dxa" w:w="238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إنتاجية يومية متغيرة</w:t>
            </w:r>
          </w:p>
        </w:tc>
        <w:tc>
          <w:tcPr>
            <w:tcW w:type="dxa" w:w="43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ترفع كلفة الفدان عبر زيادة أيام العمل والانتقال، لا عبر ساعات الطيران</w:t>
            </w:r>
          </w:p>
        </w:tc>
      </w:tr>
      <w:tr>
        <w:trPr>
          <w:cantSplit/>
        </w:trPr>
        <w:tc>
          <w:tcPr>
            <w:tcW w:type="dxa" w:w="272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معيار القبول (15 قطيرة/سم²)</w:t>
            </w:r>
          </w:p>
        </w:tc>
        <w:tc>
          <w:tcPr>
            <w:tcW w:type="dxa" w:w="238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مخاطر إعادة رش</w:t>
            </w:r>
          </w:p>
        </w:tc>
        <w:tc>
          <w:tcPr>
            <w:tcW w:type="dxa" w:w="43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تُسعَّر داخل الفدان كاحتياطي فني لا كبند منفصل</w:t>
            </w:r>
          </w:p>
        </w:tc>
      </w:tr>
      <w:tr>
        <w:trPr>
          <w:cantSplit/>
        </w:trPr>
        <w:tc>
          <w:tcPr>
            <w:tcW w:type="dxa" w:w="272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الطقس ونافذة الرش</w:t>
            </w:r>
          </w:p>
        </w:tc>
        <w:tc>
          <w:tcPr>
            <w:tcW w:type="dxa" w:w="238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أيام غير قابلة للعمل</w:t>
            </w:r>
          </w:p>
        </w:tc>
        <w:tc>
          <w:tcPr>
            <w:tcW w:type="dxa" w:w="43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تُطيل مدة الانتشار الميداني وتزيد كلفة الإقامة والجاهزية</w:t>
            </w:r>
          </w:p>
        </w:tc>
      </w:tr>
      <w:tr>
        <w:trPr>
          <w:cantSplit/>
        </w:trPr>
        <w:tc>
          <w:tcPr>
            <w:tcW w:type="dxa" w:w="272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المسافة بين الولايات</w:t>
            </w:r>
          </w:p>
        </w:tc>
        <w:tc>
          <w:tcPr>
            <w:tcW w:type="dxa" w:w="238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وقود وصيانة وانتقال</w:t>
            </w:r>
          </w:p>
        </w:tc>
        <w:tc>
          <w:tcPr>
            <w:tcW w:type="dxa" w:w="43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ترفع الكلفة المتغيرة للفدان بنسبة محدودة لكنها مؤثرة</w:t>
            </w:r>
          </w:p>
        </w:tc>
      </w:tr>
      <w:tr>
        <w:trPr>
          <w:cantSplit/>
        </w:trPr>
        <w:tc>
          <w:tcPr>
            <w:tcW w:type="dxa" w:w="272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الامتثال والبيانات</w:t>
            </w:r>
          </w:p>
        </w:tc>
        <w:tc>
          <w:tcPr>
            <w:tcW w:type="dxa" w:w="238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كلفة إدارية وهندسية</w:t>
            </w:r>
          </w:p>
        </w:tc>
        <w:tc>
          <w:tcPr>
            <w:tcW w:type="dxa" w:w="43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كلفة ثابتة سنوية تُحمّل على سعر الفدان</w:t>
            </w:r>
          </w:p>
        </w:tc>
      </w:tr>
    </w:tbl>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لماذا يختلف سعر الفدان بين الفئات الثلاث؟</w:t>
            </w:r>
          </w:p>
          <w:p>
            <w:pPr>
              <w:bidi w:val="1"/>
              <w:spacing w:after="0" w:line="324" w:lineRule="auto"/>
              <w:jc w:val="both"/>
            </w:pPr>
            <w:r>
              <w:rPr>
                <w:rFonts w:ascii="Arial" w:hAnsi="Arial" w:cs="Arial" w:eastAsia="Arial"/>
                <w:b w:val="0"/>
                <w:i w:val="0"/>
                <w:color w:val="1F252B"/>
                <w:sz w:val="19"/>
                <w:szCs w:val="19"/>
                <w:rtl w:val="1"/>
              </w:rPr>
              <w:t>الطائرات والفرق والسيارات والإشراف عناصر ثابتة لا تنقص إذا نقصت المساحة، ولذلك يكون سعر الفدان في الفئة الأولى (20,000–30,000) أعلى منه في الفئة الثالثة (40,001–60,000). وهذا ليس تفضيلاً تجارياً بل انعكاس حسابي لهيكل التكلفة: الكلفة الثابتة نفسها مقسومة على مساحة أكبر تعطي سعراً أقل للفدان، وهو ما يفسّر أيضاً لماذا لم نُحمّل الفئة الصغيرة فرقاً تعويضياً مبالغاً فيه خشية استبعاد العرض لمخالفة معيار العروض المنخفضة أو المبالغ فيها.</w:t>
            </w:r>
          </w:p>
        </w:tc>
      </w:tr>
    </w:tbl>
    <w:p>
      <w:pPr>
        <w:keepNext/>
        <w:pBdr>
          <w:bottom w:val="single" w:sz="8" w:space="4" w:color="9C7B3F"/>
        </w:pBdr>
        <w:bidi w:val="1"/>
        <w:spacing w:before="360" w:after="40" w:line="276" w:lineRule="auto"/>
        <w:jc w:val="both"/>
        <w:outlineLvl w:val="0"/>
      </w:pPr>
      <w:r>
        <w:rPr>
          <w:rFonts w:ascii="Arial" w:hAnsi="Arial" w:cs="Arial" w:eastAsia="Arial"/>
          <w:b/>
          <w:i w:val="0"/>
          <w:color w:val="9C7B3F"/>
          <w:sz w:val="30"/>
          <w:szCs w:val="30"/>
          <w:rtl w:val="1"/>
        </w:rPr>
        <w:t xml:space="preserve">3   </w:t>
      </w:r>
      <w:r>
        <w:rPr>
          <w:rFonts w:ascii="Arial" w:hAnsi="Arial" w:cs="Arial" w:eastAsia="Arial"/>
          <w:b/>
          <w:i w:val="0"/>
          <w:color w:val="142B45"/>
          <w:sz w:val="32"/>
          <w:szCs w:val="32"/>
          <w:rtl w:val="1"/>
        </w:rPr>
        <w:t>أساس التسعير والافتراضات</w:t>
      </w:r>
    </w:p>
    <w:p>
      <w:pPr>
        <w:keepNext/>
        <w:bidi w:val="1"/>
        <w:spacing w:before="120" w:after="80" w:line="288" w:lineRule="auto"/>
        <w:jc w:val="both"/>
      </w:pPr>
      <w:r>
        <w:rPr>
          <w:rFonts w:ascii="Arial" w:hAnsi="Arial" w:cs="Arial" w:eastAsia="Arial"/>
          <w:b/>
          <w:i w:val="0"/>
          <w:color w:val="142B45"/>
          <w:sz w:val="25"/>
          <w:szCs w:val="25"/>
          <w:rtl w:val="1"/>
        </w:rPr>
        <w:t>3.1 وحدة القياس</w:t>
      </w:r>
    </w:p>
    <w:p>
      <w:pPr>
        <w:bidi w:val="1"/>
        <w:spacing w:before="0" w:after="120" w:line="348" w:lineRule="auto"/>
        <w:jc w:val="both"/>
      </w:pPr>
      <w:r>
        <w:rPr>
          <w:rFonts w:ascii="Arial" w:hAnsi="Arial" w:cs="Arial" w:eastAsia="Arial"/>
          <w:b w:val="0"/>
          <w:i w:val="0"/>
          <w:color w:val="1F252B"/>
          <w:sz w:val="22"/>
          <w:szCs w:val="22"/>
          <w:rtl w:val="1"/>
        </w:rPr>
        <w:t>وحدة القياس هي الفدان الواحد من المساحة التي ثبت نجاح أعمال الرش فيها، لكل موسم رش. ولا تُحتسب المساحات التي فشل الرش فيها، ولا المساحات غير المدرجة في برنامج الرش، ولا المساحات التي رُشّت خارج نطاق الخرائط المعتمدة من الوزارة. ويُطبَّق في المقابل حدّ أدنى للدفع هو الحد الأدنى المحدد لكل فئة في قوائم الكميات، بحيث لا يقل المستخلص عن قيمة ذلك الحد مهما كان الفاقد التشغيلي.</w:t>
      </w:r>
    </w:p>
    <w:p>
      <w:pPr>
        <w:bidi w:val="1"/>
        <w:spacing w:before="0" w:after="120" w:line="348" w:lineRule="auto"/>
        <w:jc w:val="both"/>
      </w:pPr>
      <w:r>
        <w:rPr>
          <w:rFonts w:ascii="Arial" w:hAnsi="Arial" w:cs="Arial" w:eastAsia="Arial"/>
          <w:b w:val="0"/>
          <w:i w:val="0"/>
          <w:color w:val="1F252B"/>
          <w:sz w:val="22"/>
          <w:szCs w:val="22"/>
          <w:rtl w:val="1"/>
        </w:rPr>
        <w:t>وقد سُعّر الفدان على أساس برنامج رش سنوي واحد لكل موسم. فإذا تبيّن من الكراسة أو من أمر التشغيل أن البرنامج يشمل جيلين في السنة الواحدة (الجيل الربيعي والجيل الخريفي)، فإن الكمية السنوية تتضاعف بسعر الفدان نفسه دون أي زيادة في السعر، وقد أُدرج هذا الاحتمال ضمن الاستفسارات في القسم (12) لأنه يغيّر قيمة العرض الإجمالية لا سعر وحدته.</w:t>
      </w:r>
    </w:p>
    <w:p>
      <w:pPr>
        <w:keepNext/>
        <w:bidi w:val="1"/>
        <w:spacing w:before="280" w:after="80" w:line="288" w:lineRule="auto"/>
        <w:jc w:val="both"/>
      </w:pPr>
      <w:r>
        <w:rPr>
          <w:rFonts w:ascii="Arial" w:hAnsi="Arial" w:cs="Arial" w:eastAsia="Arial"/>
          <w:b/>
          <w:i w:val="0"/>
          <w:color w:val="142B45"/>
          <w:sz w:val="25"/>
          <w:szCs w:val="25"/>
          <w:rtl w:val="1"/>
        </w:rPr>
        <w:t>3.2 ما يشمله سعر الفدان</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تشغيل أسطول لا يقل عن عشرين (20) طائرة مسيرة جاهزة، بما في ذلك الإهلاك والصيانة الوقائية وقطع الغيار والإصلاح الطارئ والبديل عند العطل.</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البطاريات ومجموعات الشحن والبشابير (الميكرونير) وأدوات المعايرة والمستهلكات اللازمة لضبط معدل التدفق وحجم القطيرة.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الطاقم العماني الكامل: عشر فرق تشغيلية، كل فريق ثلاثة أفراد، إضافة إلى المشغلين والفنيين والخدمات الأرضية.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الإشراف الفني والهندسي وإدارة المشروع والامتثال، والتنسيق اليومي مع سلاح الجو السلطاني ورئاسة الأركان والأرصاد الجوية وأبراج المراقبة.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السيارات: سبع عشرة سيارة دفع رباعي مغلقة لمدة شهرين، مع وقود لا يقل عن ألف لتر لكل سيارة، وتأمين شامل وصيانة.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تسليم بيانات تتبع مسار الرش يومياً لكل طائرة، والبرامج اللازمة لقراءة البيانات وإعداد التقارير الفنية للوزارة.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الملابس والمستلزمات الواقية، والإسعافات الأولية، والتأمين الصحي وتأمين الحياة للعاملين.</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إنهاء الإجراءات الجمركية والتصاريح وتكاليف الاستيراد والمناولة داخل السلطنة.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إعادة الرش في المساحات التي تقل كثافة الترسيب فيها عن خمس عشرة قطيرة في السنتيمتر المربع، على حسابنا ودون أي مقابل إضافي.</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المصاريف العامة والإدارية، ونسبة استقطاع (1.2%) لدعم التشغيل والتدريب، وكل الرسوم النظامية المترتبة على المقاول.</w:t>
      </w:r>
    </w:p>
    <w:p>
      <w:pPr>
        <w:keepNext/>
        <w:bidi w:val="1"/>
        <w:spacing w:before="280" w:after="80" w:line="288" w:lineRule="auto"/>
        <w:jc w:val="both"/>
      </w:pPr>
      <w:r>
        <w:rPr>
          <w:rFonts w:ascii="Arial" w:hAnsi="Arial" w:cs="Arial" w:eastAsia="Arial"/>
          <w:b/>
          <w:i w:val="0"/>
          <w:color w:val="142B45"/>
          <w:sz w:val="25"/>
          <w:szCs w:val="25"/>
          <w:rtl w:val="1"/>
        </w:rPr>
        <w:t>3.3 ما لا يشمله السعر</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المبيدات بكافة أنواعها وكمياتها وقيمتها — توفّرها الوزارة بعد فحصها مختبرياً وفق البند (رابعاً/أ/1، ص 23).</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ضريبة القيمة المضافة (5%) — تُعرض في ملخص الأسعار كبند مستقل، ولا تدخل في سعر الفدان.</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أي أعمال أو مساحات أو خدمات إضافية تطلبها الوزارة خارج نطاق الكراسة وخارج المساحات المحددة في أمر التشغيل، وتُسعَّر باتفاق مكتوب مسبق.</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تكاليف التدريب وتأهيل الفرق الوطنية، إذ تنص الكراسة على عدم تضمينها في تكلفة المشروع باعتبارها مسؤولية اجتماعية على المقاول (2.1.21، ص 11) — ونحن نلتزم بها على حسابنا الخاص.</w:t>
      </w:r>
    </w:p>
    <w:p>
      <w:pPr>
        <w:keepNext/>
        <w:bidi w:val="1"/>
        <w:spacing w:before="280" w:after="80" w:line="288" w:lineRule="auto"/>
        <w:jc w:val="both"/>
      </w:pPr>
      <w:r>
        <w:rPr>
          <w:rFonts w:ascii="Arial" w:hAnsi="Arial" w:cs="Arial" w:eastAsia="Arial"/>
          <w:b/>
          <w:i w:val="0"/>
          <w:color w:val="142B45"/>
          <w:sz w:val="25"/>
          <w:szCs w:val="25"/>
          <w:rtl w:val="1"/>
        </w:rPr>
        <w:t>3.4 الافتراضات التي بُني عليها العرض</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3628"/>
        <w:gridCol w:w="2835"/>
        <w:gridCol w:w="2948"/>
      </w:tblGrid>
      <w:tr>
        <w:trPr>
          <w:cantSplit/>
          <w:tblHeader/>
        </w:trPr>
        <w:tc>
          <w:tcPr>
            <w:tcW w:type="dxa" w:w="362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الافتراض</w:t>
            </w:r>
          </w:p>
        </w:tc>
        <w:tc>
          <w:tcPr>
            <w:tcW w:type="dxa" w:w="2835"/>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سنده في الكراسة</w:t>
            </w:r>
          </w:p>
        </w:tc>
        <w:tc>
          <w:tcPr>
            <w:tcW w:type="dxa" w:w="294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أثره في السعر</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الكمية المحتسبة هي المساحة الفعلية الناجحة، والحد الأدنى للدفع هو حد الفئة</w:t>
            </w:r>
          </w:p>
        </w:tc>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قوائم الكميات، ص 19</w:t>
            </w:r>
          </w:p>
        </w:tc>
        <w:tc>
          <w:tcPr>
            <w:tcW w:type="dxa" w:w="294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يمنع تحميل الوزارة كلفة المساحات الفاشلة</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سعر الفدان لموسم رش واحد؛ وإن طُلب جيلان سنوياً تضاعفت الكمية بالسعر نفسه</w:t>
            </w:r>
          </w:p>
        </w:tc>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ثالثاً/ب/1، ص 22</w:t>
            </w:r>
          </w:p>
        </w:tc>
        <w:tc>
          <w:tcPr>
            <w:tcW w:type="dxa" w:w="294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قد يضاعف قيمة العرض دون تغيير سعر الوحدة</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المبيدات على الوزارة وغير مسعّرة عندنا</w:t>
            </w:r>
          </w:p>
        </w:tc>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رابعاً/أ/1، ص 23</w:t>
            </w:r>
          </w:p>
        </w:tc>
        <w:tc>
          <w:tcPr>
            <w:tcW w:type="dxa" w:w="294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لا هامش ربح على المبيدات</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الأسعار ثابتة طوال فترة التعاقد دون تصعيد سنوي</w:t>
            </w:r>
          </w:p>
        </w:tc>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2.1.10، ص 8</w:t>
            </w:r>
          </w:p>
        </w:tc>
        <w:tc>
          <w:tcPr>
            <w:tcW w:type="dxa" w:w="294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استيعاب التضخم داخل السعر</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لا دفعة مقدمة؛ السداد خلال 60 يوماً من شهادة الإتمام</w:t>
            </w:r>
          </w:p>
        </w:tc>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رابعاً، ص 24</w:t>
            </w:r>
          </w:p>
        </w:tc>
        <w:tc>
          <w:tcPr>
            <w:tcW w:type="dxa" w:w="294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تمويل رأس المال العامل داخل السعر</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تأمين حسن التنفيذ 5% لمدة العقد</w:t>
            </w:r>
          </w:p>
        </w:tc>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7.1.2/2، ص 31</w:t>
            </w:r>
          </w:p>
        </w:tc>
        <w:tc>
          <w:tcPr>
            <w:tcW w:type="dxa" w:w="294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كلفة عمولة بنكية ضمن المصاريف العامة</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أسطول 20 طائرة و30 فرداً و17 سيارة لكل فئة مسندة على حدة</w:t>
            </w:r>
          </w:p>
        </w:tc>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ثالثاً/أ، ص 22</w:t>
            </w:r>
          </w:p>
        </w:tc>
        <w:tc>
          <w:tcPr>
            <w:tcW w:type="dxa" w:w="294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الكلفة الثابتة لا تُوزّع بين الفئات</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سقف الغرامات 10% من قيمة العقد</w:t>
            </w:r>
          </w:p>
        </w:tc>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سادساً/4، ص 25</w:t>
            </w:r>
          </w:p>
        </w:tc>
        <w:tc>
          <w:tcPr>
            <w:tcW w:type="dxa" w:w="294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احتياطي مخاطر محدود داخل السعر</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الطاقم عماني بالكامل، 10 فرق × 3 أفراد</w:t>
            </w:r>
          </w:p>
        </w:tc>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ثالثاً/أ/3، ص 22</w:t>
            </w:r>
          </w:p>
        </w:tc>
        <w:tc>
          <w:tcPr>
            <w:tcW w:type="dxa" w:w="294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كلفة أجور وطنية أعلى من البديل الوافد</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الوقود والبطاريات والتصاريح والجمارك على المقاول</w:t>
            </w:r>
          </w:p>
        </w:tc>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ثالثاً/أ/7، ص 22</w:t>
            </w:r>
          </w:p>
        </w:tc>
        <w:tc>
          <w:tcPr>
            <w:tcW w:type="dxa" w:w="294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كلفة متغيرة لا تُفوتر منفصلة</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ضريبة القيمة المضافة 5% تُعرض منفصلة عن السعر</w:t>
            </w:r>
          </w:p>
        </w:tc>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ملخص الأسعار، ص 19</w:t>
            </w:r>
          </w:p>
        </w:tc>
        <w:tc>
          <w:tcPr>
            <w:tcW w:type="dxa" w:w="294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لا تُحمَّل في سعر الفدان</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4   </w:t>
      </w:r>
      <w:r>
        <w:rPr>
          <w:rFonts w:ascii="Arial" w:hAnsi="Arial" w:cs="Arial" w:eastAsia="Arial"/>
          <w:b/>
          <w:i w:val="0"/>
          <w:color w:val="142B45"/>
          <w:sz w:val="32"/>
          <w:szCs w:val="32"/>
          <w:rtl w:val="1"/>
        </w:rPr>
        <w:t>جدول الأسعار وملخص القيمة</w:t>
      </w:r>
    </w:p>
    <w:p>
      <w:pPr>
        <w:bidi w:val="1"/>
        <w:spacing w:before="0" w:after="120" w:line="348" w:lineRule="auto"/>
        <w:jc w:val="both"/>
      </w:pPr>
      <w:r>
        <w:rPr>
          <w:rFonts w:ascii="Arial" w:hAnsi="Arial" w:cs="Arial" w:eastAsia="Arial"/>
          <w:b w:val="0"/>
          <w:i w:val="0"/>
          <w:color w:val="1F252B"/>
          <w:sz w:val="22"/>
          <w:szCs w:val="22"/>
          <w:rtl w:val="1"/>
        </w:rPr>
        <w:t>الجدول التالي هو الجدول الذي تُدخل فيه الأسعار في صفحة قوائم الكميات في نظام «إسناد»، وقد بُني على الحد الأدنى للمساحة في كل فئة — وهو الحد الذي يضمنه المتناقص بموجب الكراسة — حتى تكون القيمة المعروضة قابلة للدفع ولا تعتمد على مساحات قد لا تُطلب. أما إذا أسندت الوزارة مساحة أكبر داخل الفئة نفسها، فإن القيمة ترتفع بسعر الفدان ذاته دون أي تغيير في السعر.</w:t>
      </w:r>
    </w:p>
    <w:p>
      <w:pPr>
        <w:keepNext/>
        <w:bidi w:val="1"/>
        <w:spacing w:before="280" w:after="80" w:line="288" w:lineRule="auto"/>
        <w:jc w:val="both"/>
      </w:pPr>
      <w:r>
        <w:rPr>
          <w:rFonts w:ascii="Arial" w:hAnsi="Arial" w:cs="Arial" w:eastAsia="Arial"/>
          <w:b/>
          <w:i w:val="0"/>
          <w:color w:val="142B45"/>
          <w:sz w:val="25"/>
          <w:szCs w:val="25"/>
          <w:rtl w:val="1"/>
        </w:rPr>
        <w:t>4.1 قوائم الكميات — سعر الفدان والقيمة الإجمالية</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2835"/>
        <w:gridCol w:w="1644"/>
        <w:gridCol w:w="1531"/>
        <w:gridCol w:w="1701"/>
        <w:gridCol w:w="1701"/>
      </w:tblGrid>
      <w:tr>
        <w:trPr>
          <w:cantSplit/>
          <w:tblHeader/>
        </w:trPr>
        <w:tc>
          <w:tcPr>
            <w:tcW w:type="dxa" w:w="2835"/>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الفئة</w:t>
            </w:r>
          </w:p>
        </w:tc>
        <w:tc>
          <w:tcPr>
            <w:tcW w:type="dxa" w:w="164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مدة التعاقد</w:t>
            </w:r>
          </w:p>
        </w:tc>
        <w:tc>
          <w:tcPr>
            <w:tcW w:type="dxa" w:w="153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المساحة (فدان)</w:t>
            </w:r>
          </w:p>
        </w:tc>
        <w:tc>
          <w:tcPr>
            <w:tcW w:type="dxa" w:w="170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سعر الفدان (ر.ع)</w:t>
            </w:r>
          </w:p>
        </w:tc>
        <w:tc>
          <w:tcPr>
            <w:tcW w:type="dxa" w:w="170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القيمة الإجمالية (ر.ع)</w:t>
            </w:r>
          </w:p>
        </w:tc>
      </w:tr>
      <w:tr>
        <w:trPr>
          <w:cantSplit/>
        </w:trPr>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الفئة الأولى (20,000 – 30,000)</w:t>
            </w:r>
          </w:p>
        </w:tc>
        <w:tc>
          <w:tcPr>
            <w:tcW w:type="dxa" w:w="164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سنتان</w:t>
            </w:r>
          </w:p>
        </w:tc>
        <w:tc>
          <w:tcPr>
            <w:tcW w:type="dxa" w:w="153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20,000</w:t>
            </w:r>
          </w:p>
        </w:tc>
        <w:tc>
          <w:tcPr>
            <w:tcW w:type="dxa" w:w="170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12.750</w:t>
            </w:r>
          </w:p>
        </w:tc>
        <w:tc>
          <w:tcPr>
            <w:tcW w:type="dxa" w:w="170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510,000.000</w:t>
            </w:r>
          </w:p>
        </w:tc>
      </w:tr>
      <w:tr>
        <w:trPr>
          <w:cantSplit/>
        </w:trPr>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الفئة الأولى (20,000 – 30,000)</w:t>
            </w:r>
          </w:p>
        </w:tc>
        <w:tc>
          <w:tcPr>
            <w:tcW w:type="dxa" w:w="164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ثلاث سنوات</w:t>
            </w:r>
          </w:p>
        </w:tc>
        <w:tc>
          <w:tcPr>
            <w:tcW w:type="dxa" w:w="153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20,000</w:t>
            </w:r>
          </w:p>
        </w:tc>
        <w:tc>
          <w:tcPr>
            <w:tcW w:type="dxa" w:w="170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12.750</w:t>
            </w:r>
          </w:p>
        </w:tc>
        <w:tc>
          <w:tcPr>
            <w:tcW w:type="dxa" w:w="170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765,000.000</w:t>
            </w:r>
          </w:p>
        </w:tc>
      </w:tr>
      <w:tr>
        <w:trPr>
          <w:cantSplit/>
        </w:trPr>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الفئة الثانية (30,001 – 40,000)</w:t>
            </w:r>
          </w:p>
        </w:tc>
        <w:tc>
          <w:tcPr>
            <w:tcW w:type="dxa" w:w="164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سنتان</w:t>
            </w:r>
          </w:p>
        </w:tc>
        <w:tc>
          <w:tcPr>
            <w:tcW w:type="dxa" w:w="153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30,001</w:t>
            </w:r>
          </w:p>
        </w:tc>
        <w:tc>
          <w:tcPr>
            <w:tcW w:type="dxa" w:w="170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9.000</w:t>
            </w:r>
          </w:p>
        </w:tc>
        <w:tc>
          <w:tcPr>
            <w:tcW w:type="dxa" w:w="170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540,018.000</w:t>
            </w:r>
          </w:p>
        </w:tc>
      </w:tr>
      <w:tr>
        <w:trPr>
          <w:cantSplit/>
        </w:trPr>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الفئة الثانية (30,001 – 40,000)</w:t>
            </w:r>
          </w:p>
        </w:tc>
        <w:tc>
          <w:tcPr>
            <w:tcW w:type="dxa" w:w="164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ثلاث سنوات</w:t>
            </w:r>
          </w:p>
        </w:tc>
        <w:tc>
          <w:tcPr>
            <w:tcW w:type="dxa" w:w="153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30,001</w:t>
            </w:r>
          </w:p>
        </w:tc>
        <w:tc>
          <w:tcPr>
            <w:tcW w:type="dxa" w:w="170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9.000</w:t>
            </w:r>
          </w:p>
        </w:tc>
        <w:tc>
          <w:tcPr>
            <w:tcW w:type="dxa" w:w="170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810,027.000</w:t>
            </w:r>
          </w:p>
        </w:tc>
      </w:tr>
      <w:tr>
        <w:trPr>
          <w:cantSplit/>
        </w:trPr>
        <w:tc>
          <w:tcPr>
            <w:tcW w:type="dxa" w:w="283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الفئة الثالثة (40,001 – 60,000)</w:t>
            </w:r>
          </w:p>
        </w:tc>
        <w:tc>
          <w:tcPr>
            <w:tcW w:type="dxa" w:w="164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سنتان</w:t>
            </w:r>
          </w:p>
        </w:tc>
        <w:tc>
          <w:tcPr>
            <w:tcW w:type="dxa" w:w="153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40,001</w:t>
            </w:r>
          </w:p>
        </w:tc>
        <w:tc>
          <w:tcPr>
            <w:tcW w:type="dxa" w:w="170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7.050</w:t>
            </w:r>
          </w:p>
        </w:tc>
        <w:tc>
          <w:tcPr>
            <w:tcW w:type="dxa" w:w="170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564,014.100</w:t>
            </w:r>
          </w:p>
        </w:tc>
      </w:tr>
      <w:tr>
        <w:trPr>
          <w:cantSplit/>
        </w:trPr>
        <w:tc>
          <w:tcPr>
            <w:tcW w:type="dxa" w:w="283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8"/>
                <w:rtl w:val="1"/>
              </w:rPr>
              <w:t>الفئة الثالثة (40,001 – 60,000)</w:t>
            </w:r>
          </w:p>
        </w:tc>
        <w:tc>
          <w:tcPr>
            <w:tcW w:type="dxa" w:w="164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ثلاث سنوات</w:t>
            </w:r>
          </w:p>
        </w:tc>
        <w:tc>
          <w:tcPr>
            <w:tcW w:type="dxa" w:w="153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40,001</w:t>
            </w:r>
          </w:p>
        </w:tc>
        <w:tc>
          <w:tcPr>
            <w:tcW w:type="dxa" w:w="170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7.050</w:t>
            </w:r>
          </w:p>
        </w:tc>
        <w:tc>
          <w:tcPr>
            <w:tcW w:type="dxa" w:w="170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8"/>
                <w:rtl w:val="1"/>
              </w:rPr>
              <w:t>846,021.150</w:t>
            </w:r>
          </w:p>
        </w:tc>
      </w:tr>
    </w:tbl>
    <w:p>
      <w:pPr>
        <w:bidi w:val="1"/>
        <w:spacing w:before="0" w:after="160" w:line="348" w:lineRule="auto"/>
        <w:jc w:val="both"/>
      </w:pPr>
      <w:r>
        <w:rPr>
          <w:rFonts w:ascii="Arial" w:hAnsi="Arial" w:cs="Arial" w:eastAsia="Arial"/>
          <w:b w:val="0"/>
          <w:i w:val="0"/>
          <w:color w:val="59626A"/>
          <w:sz w:val="17"/>
          <w:szCs w:val="18"/>
          <w:rtl w:val="1"/>
        </w:rPr>
        <w:t>سعر الفدان ثابت لكل فئة في السنتين والثلاث سنوات، ولا يوجد أي فرق سعري بين الفترتين على مستوى الوحدة؛ والفرق في القيمة الإجمالية ناتج فقط عن عدد المواسم. وقد اعتمدنا ذلك التزاماً بنص البند (2.1.10) الذي يشترط ثبات الأسعار وعدم خضوعها لأي تغيير طوال فترة التعاقد.</w:t>
      </w:r>
    </w:p>
    <w:p>
      <w:pPr>
        <w:keepNext/>
        <w:bidi w:val="1"/>
        <w:spacing w:before="280" w:after="80" w:line="288" w:lineRule="auto"/>
        <w:jc w:val="both"/>
      </w:pPr>
      <w:r>
        <w:rPr>
          <w:rFonts w:ascii="Arial" w:hAnsi="Arial" w:cs="Arial" w:eastAsia="Arial"/>
          <w:b/>
          <w:i w:val="0"/>
          <w:color w:val="142B45"/>
          <w:sz w:val="25"/>
          <w:szCs w:val="25"/>
          <w:rtl w:val="1"/>
        </w:rPr>
        <w:t>4.2 ملخص الأسعار</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4876"/>
        <w:gridCol w:w="2268"/>
        <w:gridCol w:w="2268"/>
      </w:tblGrid>
      <w:tr>
        <w:trPr>
          <w:cantSplit/>
          <w:tblHeader/>
        </w:trPr>
        <w:tc>
          <w:tcPr>
            <w:tcW w:type="dxa" w:w="4876"/>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البيان</w:t>
            </w:r>
          </w:p>
        </w:tc>
        <w:tc>
          <w:tcPr>
            <w:tcW w:type="dxa" w:w="226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سنتان (ر.ع)</w:t>
            </w:r>
          </w:p>
        </w:tc>
        <w:tc>
          <w:tcPr>
            <w:tcW w:type="dxa" w:w="226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ثلاث سنوات (ر.ع)</w:t>
            </w:r>
          </w:p>
        </w:tc>
      </w:tr>
      <w:tr>
        <w:trPr>
          <w:cantSplit/>
        </w:trPr>
        <w:tc>
          <w:tcPr>
            <w:tcW w:type="dxa" w:w="4876"/>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الفئة الأولى (20,000 – 30,000 فدان)</w:t>
            </w:r>
          </w:p>
        </w:tc>
        <w:tc>
          <w:tcPr>
            <w:tcW w:type="dxa" w:w="226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510,000.000</w:t>
            </w:r>
          </w:p>
        </w:tc>
        <w:tc>
          <w:tcPr>
            <w:tcW w:type="dxa" w:w="226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765,000.000</w:t>
            </w:r>
          </w:p>
        </w:tc>
      </w:tr>
      <w:tr>
        <w:trPr>
          <w:cantSplit/>
        </w:trPr>
        <w:tc>
          <w:tcPr>
            <w:tcW w:type="dxa" w:w="4876"/>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الفئة الثانية (30,001 – 40,000 فدان)</w:t>
            </w:r>
          </w:p>
        </w:tc>
        <w:tc>
          <w:tcPr>
            <w:tcW w:type="dxa" w:w="226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540,018.000</w:t>
            </w:r>
          </w:p>
        </w:tc>
        <w:tc>
          <w:tcPr>
            <w:tcW w:type="dxa" w:w="226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810,027.000</w:t>
            </w:r>
          </w:p>
        </w:tc>
      </w:tr>
      <w:tr>
        <w:trPr>
          <w:cantSplit/>
        </w:trPr>
        <w:tc>
          <w:tcPr>
            <w:tcW w:type="dxa" w:w="4876"/>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الفئة الثالثة (40,001 – 60,000 فدان)</w:t>
            </w:r>
          </w:p>
        </w:tc>
        <w:tc>
          <w:tcPr>
            <w:tcW w:type="dxa" w:w="226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564,014.100</w:t>
            </w:r>
          </w:p>
        </w:tc>
        <w:tc>
          <w:tcPr>
            <w:tcW w:type="dxa" w:w="226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846,021.150</w:t>
            </w:r>
          </w:p>
        </w:tc>
      </w:tr>
      <w:tr>
        <w:trPr>
          <w:cantSplit/>
        </w:trPr>
        <w:tc>
          <w:tcPr>
            <w:tcW w:type="dxa" w:w="4876"/>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المجموع قبل الضريبة (في حال إسناد الفئات الثلاث)</w:t>
            </w:r>
          </w:p>
        </w:tc>
        <w:tc>
          <w:tcPr>
            <w:tcW w:type="dxa" w:w="226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1,614,032.100</w:t>
            </w:r>
          </w:p>
        </w:tc>
        <w:tc>
          <w:tcPr>
            <w:tcW w:type="dxa" w:w="226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2,421,048.150</w:t>
            </w:r>
          </w:p>
        </w:tc>
      </w:tr>
      <w:tr>
        <w:trPr>
          <w:cantSplit/>
        </w:trPr>
        <w:tc>
          <w:tcPr>
            <w:tcW w:type="dxa" w:w="4876"/>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ضريبة القيمة المضافة 5% على البنود الخاضعة</w:t>
            </w:r>
          </w:p>
        </w:tc>
        <w:tc>
          <w:tcPr>
            <w:tcW w:type="dxa" w:w="226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80,701.605</w:t>
            </w:r>
          </w:p>
        </w:tc>
        <w:tc>
          <w:tcPr>
            <w:tcW w:type="dxa" w:w="226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121,052.408</w:t>
            </w:r>
          </w:p>
        </w:tc>
      </w:tr>
      <w:tr>
        <w:trPr>
          <w:cantSplit/>
        </w:trPr>
        <w:tc>
          <w:tcPr>
            <w:tcW w:type="dxa" w:w="4876"/>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الإجمالي شامل الضريبة</w:t>
            </w:r>
          </w:p>
        </w:tc>
        <w:tc>
          <w:tcPr>
            <w:tcW w:type="dxa" w:w="226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1,694,733.705</w:t>
            </w:r>
          </w:p>
        </w:tc>
        <w:tc>
          <w:tcPr>
            <w:tcW w:type="dxa" w:w="226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8"/>
                <w:szCs w:val="18"/>
                <w:rtl w:val="1"/>
              </w:rPr>
              <w:t>2,542,100.558</w:t>
            </w:r>
          </w:p>
        </w:tc>
      </w:tr>
    </w:tbl>
    <w:p>
      <w:pPr>
        <w:bidi w:val="1"/>
        <w:spacing w:before="0" w:after="120" w:line="348" w:lineRule="auto"/>
        <w:jc w:val="both"/>
      </w:pPr>
      <w:r>
        <w:rPr>
          <w:rFonts w:ascii="Arial" w:hAnsi="Arial" w:cs="Arial" w:eastAsia="Arial"/>
          <w:b w:val="0"/>
          <w:i w:val="0"/>
          <w:color w:val="59626A"/>
          <w:sz w:val="17"/>
          <w:szCs w:val="17"/>
          <w:rtl w:val="1"/>
        </w:rPr>
        <w:t>تُقيَّم كل فئة بصورة مستقلة، ويحق للوزارة إسناد الأعمال كلها أو جزء منها وفق البند (2.1.9). ولذلك فإن صف «المجموع» استرشادي فقط ولا يُقرأ كالتزام بإسناد الفئات الثلاث معاً.</w:t>
      </w:r>
    </w:p>
    <w:p>
      <w:pPr>
        <w:keepNext/>
        <w:bidi w:val="1"/>
        <w:spacing w:before="280" w:after="80" w:line="288" w:lineRule="auto"/>
        <w:jc w:val="both"/>
      </w:pPr>
      <w:r>
        <w:rPr>
          <w:rFonts w:ascii="Arial" w:hAnsi="Arial" w:cs="Arial" w:eastAsia="Arial"/>
          <w:b/>
          <w:i w:val="0"/>
          <w:color w:val="142B45"/>
          <w:sz w:val="25"/>
          <w:szCs w:val="25"/>
          <w:rtl w:val="1"/>
        </w:rPr>
        <w:t>4.3 القيم بالأرقام والأحرف</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3175"/>
        <w:gridCol w:w="6236"/>
      </w:tblGrid>
      <w:tr>
        <w:trPr>
          <w:cantSplit/>
          <w:tblHeader/>
        </w:trPr>
        <w:tc>
          <w:tcPr>
            <w:tcW w:type="dxa" w:w="3175"/>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البيان</w:t>
            </w:r>
          </w:p>
        </w:tc>
        <w:tc>
          <w:tcPr>
            <w:tcW w:type="dxa" w:w="6236"/>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القيمة بالأحرف</w:t>
            </w:r>
          </w:p>
        </w:tc>
      </w:tr>
      <w:tr>
        <w:trPr>
          <w:cantSplit/>
        </w:trPr>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الأولى — سنتان</w:t>
            </w:r>
          </w:p>
        </w:tc>
        <w:tc>
          <w:tcPr>
            <w:tcW w:type="dxa" w:w="6236"/>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خمسمائة وعشرة ألف ريال عماني فقط</w:t>
            </w:r>
          </w:p>
        </w:tc>
      </w:tr>
      <w:tr>
        <w:trPr>
          <w:cantSplit/>
        </w:trPr>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الأولى — ثلاث سنوات</w:t>
            </w:r>
          </w:p>
        </w:tc>
        <w:tc>
          <w:tcPr>
            <w:tcW w:type="dxa" w:w="6236"/>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سبعمائة وخمسة وستون ألف ريال عماني فقط</w:t>
            </w:r>
          </w:p>
        </w:tc>
      </w:tr>
      <w:tr>
        <w:trPr>
          <w:cantSplit/>
        </w:trPr>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الثانية — سنتان</w:t>
            </w:r>
          </w:p>
        </w:tc>
        <w:tc>
          <w:tcPr>
            <w:tcW w:type="dxa" w:w="6236"/>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خمسمائة وأربعون ألف وثمانية عشر ريال عماني فقط</w:t>
            </w:r>
          </w:p>
        </w:tc>
      </w:tr>
      <w:tr>
        <w:trPr>
          <w:cantSplit/>
        </w:trPr>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الثانية — ثلاث سنوات</w:t>
            </w:r>
          </w:p>
        </w:tc>
        <w:tc>
          <w:tcPr>
            <w:tcW w:type="dxa" w:w="6236"/>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ثمانمائة وعشرة ألف وسبعة وعشرون ريال عماني فقط</w:t>
            </w:r>
          </w:p>
        </w:tc>
      </w:tr>
      <w:tr>
        <w:trPr>
          <w:cantSplit/>
        </w:trPr>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الثالثة — سنتان</w:t>
            </w:r>
          </w:p>
        </w:tc>
        <w:tc>
          <w:tcPr>
            <w:tcW w:type="dxa" w:w="6236"/>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خمسمائة وأربعة وستون ألف وأربعة عشر ريال عماني ومائة بيسة فقط</w:t>
            </w:r>
          </w:p>
        </w:tc>
      </w:tr>
      <w:tr>
        <w:trPr>
          <w:cantSplit/>
        </w:trPr>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الثالثة — ثلاث سنوات</w:t>
            </w:r>
          </w:p>
        </w:tc>
        <w:tc>
          <w:tcPr>
            <w:tcW w:type="dxa" w:w="6236"/>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ثمانمائة وستة وأربعون ألف وواحد وعشرون ريال عماني ومائة وخمسون بيسة فقط</w:t>
            </w:r>
          </w:p>
        </w:tc>
      </w:tr>
    </w:tbl>
    <w:p>
      <w:pPr>
        <w:bidi w:val="1"/>
        <w:spacing w:before="0" w:after="160" w:line="348" w:lineRule="auto"/>
        <w:jc w:val="both"/>
      </w:pPr>
      <w:r>
        <w:rPr>
          <w:rFonts w:ascii="Arial" w:hAnsi="Arial" w:cs="Arial" w:eastAsia="Arial"/>
          <w:b w:val="0"/>
          <w:i w:val="0"/>
          <w:color w:val="59626A"/>
          <w:sz w:val="17"/>
          <w:szCs w:val="17"/>
          <w:rtl w:val="1"/>
        </w:rPr>
        <w:t>تُراجع صياغة المبالغ بالأحرف عند اعتماد الأسعار النهائية، ويُعتمد ما يُدخل إلكترونياً في نظام «إسناد» وفقاً لقواعد تصحيح الأخطاء الحسابية في البند (2.1.15) التي تعطي الأولوية للقيمة المكتوبة بالأحرف عند الاختلاف.</w:t>
      </w:r>
    </w:p>
    <w:p>
      <w:pPr>
        <w:keepNext/>
        <w:bidi w:val="1"/>
        <w:spacing w:before="280" w:after="80" w:line="288" w:lineRule="auto"/>
        <w:jc w:val="both"/>
      </w:pPr>
      <w:r>
        <w:rPr>
          <w:rFonts w:ascii="Arial" w:hAnsi="Arial" w:cs="Arial" w:eastAsia="Arial"/>
          <w:b/>
          <w:i w:val="0"/>
          <w:color w:val="142B45"/>
          <w:sz w:val="25"/>
          <w:szCs w:val="25"/>
          <w:rtl w:val="1"/>
        </w:rPr>
        <w:t>4.4 حساسية القيمة الإجمالية لتغيّر المساحة داخل الفئة</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1814"/>
        <w:gridCol w:w="2608"/>
        <w:gridCol w:w="2494"/>
        <w:gridCol w:w="2494"/>
      </w:tblGrid>
      <w:tr>
        <w:trPr>
          <w:cantSplit/>
          <w:tblHeader/>
        </w:trPr>
        <w:tc>
          <w:tcPr>
            <w:tcW w:type="dxa" w:w="181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الفئة</w:t>
            </w:r>
          </w:p>
        </w:tc>
        <w:tc>
          <w:tcPr>
            <w:tcW w:type="dxa" w:w="260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الحد الأدنى (المساحة والقيمة السنوية)</w:t>
            </w:r>
          </w:p>
        </w:tc>
        <w:tc>
          <w:tcPr>
            <w:tcW w:type="dxa" w:w="249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المنتصف</w:t>
            </w:r>
          </w:p>
        </w:tc>
        <w:tc>
          <w:tcPr>
            <w:tcW w:type="dxa" w:w="249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الحد الأعلى</w:t>
            </w:r>
          </w:p>
        </w:tc>
      </w:tr>
      <w:tr>
        <w:trPr>
          <w:cantSplit/>
        </w:trPr>
        <w:tc>
          <w:tcPr>
            <w:tcW w:type="dxa" w:w="181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الأولى</w:t>
            </w:r>
          </w:p>
        </w:tc>
        <w:tc>
          <w:tcPr>
            <w:tcW w:type="dxa" w:w="260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20,000 فدان (255,000.000 ر.ع)</w:t>
            </w:r>
          </w:p>
        </w:tc>
        <w:tc>
          <w:tcPr>
            <w:tcW w:type="dxa" w:w="249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25,000 فدان (318,750.000 ر.ع)</w:t>
            </w:r>
          </w:p>
        </w:tc>
        <w:tc>
          <w:tcPr>
            <w:tcW w:type="dxa" w:w="249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30,000 فدان (382,500.000 ر.ع)</w:t>
            </w:r>
          </w:p>
        </w:tc>
      </w:tr>
      <w:tr>
        <w:trPr>
          <w:cantSplit/>
        </w:trPr>
        <w:tc>
          <w:tcPr>
            <w:tcW w:type="dxa" w:w="1814"/>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الثانية</w:t>
            </w:r>
          </w:p>
        </w:tc>
        <w:tc>
          <w:tcPr>
            <w:tcW w:type="dxa" w:w="260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30,001 فدان (270,009.000 ر.ع)</w:t>
            </w:r>
          </w:p>
        </w:tc>
        <w:tc>
          <w:tcPr>
            <w:tcW w:type="dxa" w:w="249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35,000.5 فدان (315,004.500 ر.ع)</w:t>
            </w:r>
          </w:p>
        </w:tc>
        <w:tc>
          <w:tcPr>
            <w:tcW w:type="dxa" w:w="249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40,000 فدان (360,000.000 ر.ع)</w:t>
            </w:r>
          </w:p>
        </w:tc>
      </w:tr>
      <w:tr>
        <w:trPr>
          <w:cantSplit/>
        </w:trPr>
        <w:tc>
          <w:tcPr>
            <w:tcW w:type="dxa" w:w="181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الثالثة</w:t>
            </w:r>
          </w:p>
        </w:tc>
        <w:tc>
          <w:tcPr>
            <w:tcW w:type="dxa" w:w="260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40,001 فدان (282,007.050 ر.ع)</w:t>
            </w:r>
          </w:p>
        </w:tc>
        <w:tc>
          <w:tcPr>
            <w:tcW w:type="dxa" w:w="249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50,000.5 فدان (352,503.525 ر.ع)</w:t>
            </w:r>
          </w:p>
        </w:tc>
        <w:tc>
          <w:tcPr>
            <w:tcW w:type="dxa" w:w="249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60,000 فدان (423,000.000 ر.ع)</w:t>
            </w:r>
          </w:p>
        </w:tc>
      </w:tr>
    </w:tbl>
    <w:p>
      <w:pPr>
        <w:bidi w:val="1"/>
        <w:spacing w:before="0" w:after="160" w:line="348" w:lineRule="auto"/>
        <w:jc w:val="both"/>
      </w:pPr>
      <w:r>
        <w:rPr>
          <w:rFonts w:ascii="Arial" w:hAnsi="Arial" w:cs="Arial" w:eastAsia="Arial"/>
          <w:b w:val="0"/>
          <w:i w:val="0"/>
          <w:color w:val="1F252B"/>
          <w:sz w:val="17"/>
          <w:szCs w:val="18"/>
          <w:rtl w:val="1"/>
        </w:rPr>
        <w:t>سعر الفدان لا يتغيّر داخل الفئة؛ ما يتغيّر هو الكمية. وحرصنا على تقديم السعر على أساس الحد الأدنى حتى لا يكون العرض معلّقاً على مساحة لم تُطلب بعد، مع تأكيد أن أي زيادة في المساحة تُحاسب بالسعر نفسه دون إعادة تفاوض.</w:t>
      </w:r>
    </w:p>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قيد سعري يجب الانتباه إليه عند الاعتماد</w:t>
            </w:r>
          </w:p>
          <w:p>
            <w:pPr>
              <w:bidi w:val="1"/>
              <w:spacing w:after="0" w:line="324" w:lineRule="auto"/>
              <w:jc w:val="both"/>
            </w:pPr>
            <w:r>
              <w:rPr>
                <w:rFonts w:ascii="Arial" w:hAnsi="Arial" w:cs="Arial" w:eastAsia="Arial"/>
                <w:b w:val="0"/>
                <w:i w:val="0"/>
                <w:color w:val="1F252B"/>
                <w:sz w:val="19"/>
                <w:szCs w:val="19"/>
                <w:rtl w:val="1"/>
              </w:rPr>
              <w:t>تنص الكراسة على استبعاد العطاء الذي يقل بأكثر من (20%) عن العطاءات المقدمة والتكلفة التقديرية للمناقصة (البند 2.1.12، ص 9). وهذا يعني أن المبالغة في تخفيض السعر لضمان الترسية قد تؤدي إلى استبعاد العرض بدلاً من الفوز به. الأسعار في هذا المستند موضوعة على أساس التكلفة الكاملة مضافاً إليها هامش معقول، لا على أساس أقل سعر ممكن، ويوصى بعدم تخفيضها بأكثر من خمسة عشر بالمائة عند الاعتماد النهائي.</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5   </w:t>
      </w:r>
      <w:r>
        <w:rPr>
          <w:rFonts w:ascii="Arial" w:hAnsi="Arial" w:cs="Arial" w:eastAsia="Arial"/>
          <w:b/>
          <w:i w:val="0"/>
          <w:color w:val="142B45"/>
          <w:sz w:val="32"/>
          <w:szCs w:val="32"/>
          <w:rtl w:val="1"/>
        </w:rPr>
        <w:t>القياس والمستخلصات وسلامة الاحتساب</w:t>
      </w:r>
    </w:p>
    <w:p>
      <w:pPr>
        <w:bidi w:val="1"/>
        <w:spacing w:before="0" w:after="120" w:line="348" w:lineRule="auto"/>
        <w:jc w:val="both"/>
      </w:pPr>
      <w:r>
        <w:rPr>
          <w:rFonts w:ascii="Arial" w:hAnsi="Arial" w:cs="Arial" w:eastAsia="Arial"/>
          <w:b w:val="0"/>
          <w:i w:val="0"/>
          <w:color w:val="1F252B"/>
          <w:sz w:val="22"/>
          <w:szCs w:val="22"/>
          <w:rtl w:val="1"/>
        </w:rPr>
        <w:t>الخلاف في عقود الرش لا ينشأ عادة من سعر الفدان، بل من المساحة التي تُحتسب. وقد بنينا هذا القسم على النصوص التي تحكم القياس، لأنه يحدد ما يُدفع فعلاً وما لا يُدفع، ويحدد أيضاً ما نتحمّله من مخاطر داخل السعر.</w:t>
      </w:r>
    </w:p>
    <w:p>
      <w:pPr>
        <w:keepNext/>
        <w:bidi w:val="1"/>
        <w:spacing w:before="280" w:after="80" w:line="288" w:lineRule="auto"/>
        <w:jc w:val="both"/>
      </w:pPr>
      <w:r>
        <w:rPr>
          <w:rFonts w:ascii="Arial" w:hAnsi="Arial" w:cs="Arial" w:eastAsia="Arial"/>
          <w:b/>
          <w:i w:val="0"/>
          <w:color w:val="142B45"/>
          <w:sz w:val="25"/>
          <w:szCs w:val="25"/>
          <w:rtl w:val="1"/>
        </w:rPr>
        <w:t>5.1 دورة القياس والدفع</w:t>
      </w:r>
    </w:p>
    <w:p>
      <w:pPr>
        <w:bidi w:val="1"/>
        <w:spacing w:before="0" w:after="60" w:line="324" w:lineRule="auto"/>
        <w:ind w:left="312"/>
        <w:jc w:val="both"/>
      </w:pPr>
      <w:r>
        <w:rPr>
          <w:rFonts w:ascii="Arial" w:hAnsi="Arial" w:cs="Arial" w:eastAsia="Arial"/>
          <w:b/>
          <w:i w:val="0"/>
          <w:color w:val="142B45"/>
          <w:sz w:val="21"/>
          <w:szCs w:val="21"/>
          <w:rtl w:val="1"/>
        </w:rPr>
        <w:t xml:space="preserve">1.  </w:t>
      </w:r>
      <w:r>
        <w:rPr>
          <w:rFonts w:ascii="Arial" w:hAnsi="Arial" w:cs="Arial" w:eastAsia="Arial"/>
          <w:b w:val="0"/>
          <w:i w:val="0"/>
          <w:color w:val="1F252B"/>
          <w:sz w:val="21"/>
          <w:szCs w:val="21"/>
          <w:rtl w:val="1"/>
        </w:rPr>
        <w:t>تنفّذ الشركة الرش وفق الخرائط والتوقيت المعتمدين من الوزارة، وتسلّم يومياً بيانات جهاز تحديد مسار الرش لكل طائرة (ثالثاً/ب/7).</w:t>
      </w:r>
    </w:p>
    <w:p>
      <w:pPr>
        <w:bidi w:val="1"/>
        <w:spacing w:before="0" w:after="60" w:line="324" w:lineRule="auto"/>
        <w:ind w:left="312"/>
        <w:jc w:val="both"/>
      </w:pPr>
      <w:r>
        <w:rPr>
          <w:rFonts w:ascii="Arial" w:hAnsi="Arial" w:cs="Arial" w:eastAsia="Arial"/>
          <w:b/>
          <w:i w:val="0"/>
          <w:color w:val="142B45"/>
          <w:sz w:val="21"/>
          <w:szCs w:val="21"/>
          <w:rtl w:val="1"/>
        </w:rPr>
        <w:t xml:space="preserve">2.  </w:t>
      </w:r>
      <w:r>
        <w:rPr>
          <w:rFonts w:ascii="Arial" w:hAnsi="Arial" w:cs="Arial" w:eastAsia="Arial"/>
          <w:b w:val="0"/>
          <w:i w:val="0"/>
          <w:color w:val="1F252B"/>
          <w:sz w:val="21"/>
          <w:szCs w:val="21"/>
          <w:rtl w:val="1"/>
        </w:rPr>
        <w:t>تُجري لجنة فنية من الوزارة تقييماً بعدد وحجم ونسبة وصول المبيد، وتُصدر شهادة إتمام تنفيذ الأعمال خلال 45 يوماً من انتهاء الأعمال، وهي نهائية وغير قابلة للطعن (رابعاً، ص 24).</w:t>
      </w:r>
    </w:p>
    <w:p>
      <w:pPr>
        <w:bidi w:val="1"/>
        <w:spacing w:before="0" w:after="60" w:line="324" w:lineRule="auto"/>
        <w:ind w:left="312"/>
        <w:jc w:val="both"/>
      </w:pPr>
      <w:r>
        <w:rPr>
          <w:rFonts w:ascii="Arial" w:hAnsi="Arial" w:cs="Arial" w:eastAsia="Arial"/>
          <w:b/>
          <w:i w:val="0"/>
          <w:color w:val="142B45"/>
          <w:sz w:val="21"/>
          <w:szCs w:val="21"/>
          <w:rtl w:val="1"/>
        </w:rPr>
        <w:t xml:space="preserve">3.  </w:t>
      </w:r>
      <w:r>
        <w:rPr>
          <w:rFonts w:ascii="Arial" w:hAnsi="Arial" w:cs="Arial" w:eastAsia="Arial"/>
          <w:b w:val="0"/>
          <w:i w:val="0"/>
          <w:color w:val="1F252B"/>
          <w:sz w:val="21"/>
          <w:szCs w:val="21"/>
          <w:rtl w:val="1"/>
        </w:rPr>
        <w:t>تُقدّم الشركة مطالبتها بالمساحة الإجمالية التي نجح فيها الرش، بعد خصم المساحات التي فشلت فيها.</w:t>
      </w:r>
    </w:p>
    <w:p>
      <w:pPr>
        <w:bidi w:val="1"/>
        <w:spacing w:before="0" w:after="60" w:line="324" w:lineRule="auto"/>
        <w:ind w:left="312"/>
        <w:jc w:val="both"/>
      </w:pPr>
      <w:r>
        <w:rPr>
          <w:rFonts w:ascii="Arial" w:hAnsi="Arial" w:cs="Arial" w:eastAsia="Arial"/>
          <w:b/>
          <w:i w:val="0"/>
          <w:color w:val="142B45"/>
          <w:sz w:val="21"/>
          <w:szCs w:val="21"/>
          <w:rtl w:val="1"/>
        </w:rPr>
        <w:t xml:space="preserve">4.  </w:t>
      </w:r>
      <w:r>
        <w:rPr>
          <w:rFonts w:ascii="Arial" w:hAnsi="Arial" w:cs="Arial" w:eastAsia="Arial"/>
          <w:b w:val="0"/>
          <w:i w:val="0"/>
          <w:color w:val="1F252B"/>
          <w:sz w:val="21"/>
          <w:szCs w:val="21"/>
          <w:rtl w:val="1"/>
        </w:rPr>
        <w:t>تُسدَّد القيمة خلال ستين (60) يوماً من إصدار الشهادة (رابعاً، ص 24).</w:t>
      </w:r>
    </w:p>
    <w:p>
      <w:pPr>
        <w:keepNext/>
        <w:bidi w:val="1"/>
        <w:spacing w:before="280" w:after="80" w:line="288" w:lineRule="auto"/>
        <w:jc w:val="both"/>
      </w:pPr>
      <w:r>
        <w:rPr>
          <w:rFonts w:ascii="Arial" w:hAnsi="Arial" w:cs="Arial" w:eastAsia="Arial"/>
          <w:b/>
          <w:i w:val="0"/>
          <w:color w:val="142B45"/>
          <w:sz w:val="25"/>
          <w:szCs w:val="25"/>
          <w:rtl w:val="1"/>
        </w:rPr>
        <w:t>5.2 معايير الاحتساب والخصم</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3742"/>
        <w:gridCol w:w="3742"/>
        <w:gridCol w:w="1928"/>
      </w:tblGrid>
      <w:tr>
        <w:trPr>
          <w:cantSplit/>
          <w:tblHeader/>
        </w:trPr>
        <w:tc>
          <w:tcPr>
            <w:tcW w:type="dxa" w:w="3742"/>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الحالة</w:t>
            </w:r>
          </w:p>
        </w:tc>
        <w:tc>
          <w:tcPr>
            <w:tcW w:type="dxa" w:w="3742"/>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الأثر المالي</w:t>
            </w:r>
          </w:p>
        </w:tc>
        <w:tc>
          <w:tcPr>
            <w:tcW w:type="dxa" w:w="192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المرجع</w:t>
            </w:r>
          </w:p>
        </w:tc>
      </w:tr>
      <w:tr>
        <w:trPr>
          <w:cantSplit/>
        </w:trPr>
        <w:tc>
          <w:tcPr>
            <w:tcW w:type="dxa" w:w="374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ترسيب بين 15 و30 قطيرة/سم² في جميع القرى المقيَّمة</w:t>
            </w:r>
          </w:p>
        </w:tc>
        <w:tc>
          <w:tcPr>
            <w:tcW w:type="dxa" w:w="374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يُصرف المستحق عن كامل المساحة</w:t>
            </w:r>
          </w:p>
        </w:tc>
        <w:tc>
          <w:tcPr>
            <w:tcW w:type="dxa" w:w="19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رابعاً/1، ص 24</w:t>
            </w:r>
          </w:p>
        </w:tc>
      </w:tr>
      <w:tr>
        <w:trPr>
          <w:cantSplit/>
        </w:trPr>
        <w:tc>
          <w:tcPr>
            <w:tcW w:type="dxa" w:w="374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ترسيب أقل من 15 قطيرة/سم² وعدم تحقيق إبادة 90%</w:t>
            </w:r>
          </w:p>
        </w:tc>
        <w:tc>
          <w:tcPr>
            <w:tcW w:type="dxa" w:w="374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تُخصم مساحة القرى الفاشلة، وتُحصَّل قيمة المبيدات من مستحقاتنا</w:t>
            </w:r>
          </w:p>
        </w:tc>
        <w:tc>
          <w:tcPr>
            <w:tcW w:type="dxa" w:w="19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رابعاً/2، ص 24</w:t>
            </w:r>
          </w:p>
        </w:tc>
      </w:tr>
      <w:tr>
        <w:trPr>
          <w:cantSplit/>
        </w:trPr>
        <w:tc>
          <w:tcPr>
            <w:tcW w:type="dxa" w:w="374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رش مساحة غير مدرجة في البرنامج</w:t>
            </w:r>
          </w:p>
        </w:tc>
        <w:tc>
          <w:tcPr>
            <w:tcW w:type="dxa" w:w="374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لا يُحتسب أي مستحق، وتُخصم قيمة المبيدات</w:t>
            </w:r>
          </w:p>
        </w:tc>
        <w:tc>
          <w:tcPr>
            <w:tcW w:type="dxa" w:w="19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خامساً/3، ص 24</w:t>
            </w:r>
          </w:p>
        </w:tc>
      </w:tr>
      <w:tr>
        <w:trPr>
          <w:cantSplit/>
        </w:trPr>
        <w:tc>
          <w:tcPr>
            <w:tcW w:type="dxa" w:w="374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أضرار في الممتلكات بسبب خطأ المشغل</w:t>
            </w:r>
          </w:p>
        </w:tc>
        <w:tc>
          <w:tcPr>
            <w:tcW w:type="dxa" w:w="374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نتحمّل التعويضات التي تقررها اللجنة</w:t>
            </w:r>
          </w:p>
        </w:tc>
        <w:tc>
          <w:tcPr>
            <w:tcW w:type="dxa" w:w="19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خامساً/2، ص 24</w:t>
            </w:r>
          </w:p>
        </w:tc>
      </w:tr>
      <w:tr>
        <w:trPr>
          <w:cantSplit/>
        </w:trPr>
        <w:tc>
          <w:tcPr>
            <w:tcW w:type="dxa" w:w="374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هدر مبيدات بسبب عطل أو خطأ تنفيذ</w:t>
            </w:r>
          </w:p>
        </w:tc>
        <w:tc>
          <w:tcPr>
            <w:tcW w:type="dxa" w:w="374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تُخصم قيمة المبيدات المستهلكة</w:t>
            </w:r>
          </w:p>
        </w:tc>
        <w:tc>
          <w:tcPr>
            <w:tcW w:type="dxa" w:w="19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خامساً/4، ص 24</w:t>
            </w:r>
          </w:p>
        </w:tc>
      </w:tr>
      <w:tr>
        <w:trPr>
          <w:cantSplit/>
        </w:trPr>
        <w:tc>
          <w:tcPr>
            <w:tcW w:type="dxa" w:w="374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مساحة إضافية تطلبها الوزارة</w:t>
            </w:r>
          </w:p>
        </w:tc>
        <w:tc>
          <w:tcPr>
            <w:tcW w:type="dxa" w:w="374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تُحاسب بسعر الفدان نفسه في هذا العرض</w:t>
            </w:r>
          </w:p>
        </w:tc>
        <w:tc>
          <w:tcPr>
            <w:tcW w:type="dxa" w:w="19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ثالثاً/ب/3، ص 22</w:t>
            </w:r>
          </w:p>
        </w:tc>
      </w:tr>
    </w:tbl>
    <w:p>
      <w:pPr>
        <w:bidi w:val="1"/>
        <w:spacing w:before="0" w:after="120" w:line="348" w:lineRule="auto"/>
        <w:jc w:val="both"/>
      </w:pPr>
      <w:r>
        <w:rPr>
          <w:rFonts w:ascii="Arial" w:hAnsi="Arial" w:cs="Arial" w:eastAsia="Arial"/>
          <w:b w:val="0"/>
          <w:i w:val="0"/>
          <w:color w:val="1F252B"/>
          <w:sz w:val="18"/>
          <w:szCs w:val="18"/>
          <w:rtl w:val="1"/>
        </w:rPr>
        <w:t>غياب أي بند في هذا العرض مقابل «الجاهزية» أو «الاستعداد» أو «أيام التوقف» مقصود: الكراسة لا تعرف هذه البنود، وأي مطالبة بها بعد الترسية ستكون خارج العقد. وقد سُعّرت هذه الأيام داخل سعر الفدان لأن تحميلها لبند منفصل كان سيُعد تحفظاً على شروط الكراسة.</w:t>
      </w:r>
    </w:p>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6   </w:t>
      </w:r>
      <w:r>
        <w:rPr>
          <w:rFonts w:ascii="Arial" w:hAnsi="Arial" w:cs="Arial" w:eastAsia="Arial"/>
          <w:b/>
          <w:i w:val="0"/>
          <w:color w:val="142B45"/>
          <w:sz w:val="32"/>
          <w:szCs w:val="32"/>
          <w:rtl w:val="1"/>
        </w:rPr>
        <w:t>مصفوفة الامتثال للشروط التجارية</w:t>
      </w:r>
    </w:p>
    <w:p>
      <w:pPr>
        <w:bidi w:val="1"/>
        <w:spacing w:before="0" w:after="120" w:line="348" w:lineRule="auto"/>
        <w:jc w:val="both"/>
      </w:pPr>
      <w:r>
        <w:rPr>
          <w:rFonts w:ascii="Arial" w:hAnsi="Arial" w:cs="Arial" w:eastAsia="Arial"/>
          <w:b w:val="0"/>
          <w:i w:val="0"/>
          <w:color w:val="1F252B"/>
          <w:sz w:val="20"/>
          <w:szCs w:val="20"/>
          <w:rtl w:val="1"/>
        </w:rPr>
        <w:t>كل صف في هذا الجدول يقابل نصاً في الكراسة. والغرض منه أن يستطيع المقيّم أن يتحقق من الامتثال من صفحة واحدة، دون البحث في متن العرض.</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1474"/>
        <w:gridCol w:w="4762"/>
        <w:gridCol w:w="3175"/>
      </w:tblGrid>
      <w:tr>
        <w:trPr>
          <w:cantSplit/>
          <w:tblHeader/>
        </w:trPr>
        <w:tc>
          <w:tcPr>
            <w:tcW w:type="dxa" w:w="147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البند</w:t>
            </w:r>
          </w:p>
        </w:tc>
        <w:tc>
          <w:tcPr>
            <w:tcW w:type="dxa" w:w="4762"/>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المتطلب</w:t>
            </w:r>
          </w:p>
        </w:tc>
        <w:tc>
          <w:tcPr>
            <w:tcW w:type="dxa" w:w="3175"/>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موقف العرض</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2.1.7</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الأسعار بالريال العُماني بثلاثة منازل عشرية</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جميع الأسعار بثلاثة منازل</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2.1.10</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ثبات الأسعار طوال العقد وصلاحية 90 يوماً</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لا تصعيد سنوي ولا تحفظ على الثبات</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2.1.11</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خلو العرض من القيود والتحفظات</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لا يوجد أي تحفظ</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2.1.15</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قواعد تصحيح الأخطاء الحسابية</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مقبول — الأولوية للقيمة بالأحرف</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2.1.18</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تحليل أسعار الوحدات عند الطلب</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يُقدَّم خلال خمسة أيام عمل</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2.2.1/2</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عرض مالي موقع ومختوم</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يُرفع موقّعاً ومختوماً</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7.1.2/1</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لغة العقد العربية</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7.1.2/2</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ضمان حسن تنفيذ 5% خلال 10 أيام</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ضمان بنكي غير مشروط</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7.1.2/3</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فترة التنفيذ حسب الحالة الفنية للإصابة</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مقبول — الجاهزية تبدأ من أمر التشغيل</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7.1.2/4</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السداد خلال 45 يوماً من شهادة الإتمام</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مقبول</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سادساً/2–4</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غرامات التوقف والأعطال بسقف 10%</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مقبول — مسعّرة داخل سعر الفدان</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ثالثاً/أ/2</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شهادات خبرة المشغلين معتمدة</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تُرفق مع العرض الفني</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ثالثاً/أ/7</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إنهاء الإجراءات الجمركية والتصاريح</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على حسابنا</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ثالثاً/أ/8</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الإسعافات والتأمين الصحي وتأمين الحياة</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لجميع العاملين</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2.1.21</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التعمين وخطة التدريب و10% للمؤسسات الصغيرة</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 — بالتفصيل في القسم (8)</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6.1/6</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استقطاع 1.2% من قيمة الفواتير</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مقبول — محمّل في المصاريف العامة</w:t>
            </w:r>
          </w:p>
        </w:tc>
      </w:tr>
      <w:tr>
        <w:trPr>
          <w:cantSplit/>
        </w:trPr>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6.1/5</w:t>
            </w:r>
          </w:p>
        </w:tc>
        <w:tc>
          <w:tcPr>
            <w:tcW w:type="dxa" w:w="476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التوريد عبر موانئ السلطنة</w:t>
            </w:r>
          </w:p>
        </w:tc>
        <w:tc>
          <w:tcPr>
            <w:tcW w:type="dxa" w:w="317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ملتزم</w:t>
            </w:r>
          </w:p>
        </w:tc>
      </w:tr>
      <w:tr>
        <w:trPr>
          <w:cantSplit/>
        </w:trPr>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ص 19</w:t>
            </w:r>
          </w:p>
        </w:tc>
        <w:tc>
          <w:tcPr>
            <w:tcW w:type="dxa" w:w="476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ضريبة القيمة المضافة 5% على البنود الخاضعة</w:t>
            </w:r>
          </w:p>
        </w:tc>
        <w:tc>
          <w:tcPr>
            <w:tcW w:type="dxa" w:w="317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معروضة كبند مستقل في ملخص الأسعار</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7   </w:t>
      </w:r>
      <w:r>
        <w:rPr>
          <w:rFonts w:ascii="Arial" w:hAnsi="Arial" w:cs="Arial" w:eastAsia="Arial"/>
          <w:b/>
          <w:i w:val="0"/>
          <w:color w:val="142B45"/>
          <w:sz w:val="32"/>
          <w:szCs w:val="32"/>
          <w:rtl w:val="1"/>
        </w:rPr>
        <w:t>الغرامات والتعويضات وأثرها على السعر</w:t>
      </w:r>
    </w:p>
    <w:p>
      <w:pPr>
        <w:bidi w:val="1"/>
        <w:spacing w:before="0" w:after="120" w:line="348" w:lineRule="auto"/>
        <w:jc w:val="both"/>
      </w:pPr>
      <w:r>
        <w:rPr>
          <w:rFonts w:ascii="Arial" w:hAnsi="Arial" w:cs="Arial" w:eastAsia="Arial"/>
          <w:b w:val="0"/>
          <w:i w:val="0"/>
          <w:color w:val="1F252B"/>
          <w:sz w:val="22"/>
          <w:szCs w:val="22"/>
          <w:rtl w:val="1"/>
        </w:rPr>
        <w:t>الغرامات في هذه المناقصة ليست هامشية، وهي مرتبطة بأحداث خارجة جزئياً عن سيطرة المقاول: عطل جهاز، أو توقف بسبب طقس، أو تأخر في استكمال برنامج رش. وقد قيّمناها قبل التسعير لأن تجاهلها يعني تقديم سعر لا يعكس المخاطرة الحقيقية، ثم مفاجأة عند أول خصم.</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3628"/>
        <w:gridCol w:w="2268"/>
        <w:gridCol w:w="3515"/>
      </w:tblGrid>
      <w:tr>
        <w:trPr>
          <w:cantSplit/>
          <w:tblHeader/>
        </w:trPr>
        <w:tc>
          <w:tcPr>
            <w:tcW w:type="dxa" w:w="362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الحالة</w:t>
            </w:r>
          </w:p>
        </w:tc>
        <w:tc>
          <w:tcPr>
            <w:tcW w:type="dxa" w:w="226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الغرامة</w:t>
            </w:r>
          </w:p>
        </w:tc>
        <w:tc>
          <w:tcPr>
            <w:tcW w:type="dxa" w:w="3515"/>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ملاحظات التنفيذ</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توقف الشركة عن استكمال البرنامج لسبب غير مقبول</w:t>
            </w:r>
          </w:p>
        </w:tc>
        <w:tc>
          <w:tcPr>
            <w:tcW w:type="dxa" w:w="226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0.5% من قيمة العقد يومياً</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بعد ثلاثة أيام يحق للوزارة الاستكمال على حسابنا أو من الضمان</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عطل في الأجهزة الملحقة بالطائرات دون إصلاح أو بديل</w:t>
            </w:r>
          </w:p>
        </w:tc>
        <w:tc>
          <w:tcPr>
            <w:tcW w:type="dxa" w:w="226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1% من قيمة العقد يومياً</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تبدأ بعد ثلاثة أيام من العطل</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السقف الإجمالي للغرامات</w:t>
            </w:r>
          </w:p>
        </w:tc>
        <w:tc>
          <w:tcPr>
            <w:tcW w:type="dxa" w:w="226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10% من قيمة العقد</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حد أقصى يحمي الطرفين</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تأخر البدء في أعمال الرش</w:t>
            </w:r>
          </w:p>
        </w:tc>
        <w:tc>
          <w:tcPr>
            <w:tcW w:type="dxa" w:w="226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فسخ العقد بعد 15 يوماً</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مع مصادرة الضمان كلياً أو جزئياً</w:t>
            </w:r>
          </w:p>
        </w:tc>
      </w:tr>
      <w:tr>
        <w:trPr>
          <w:cantSplit/>
        </w:trPr>
        <w:tc>
          <w:tcPr>
            <w:tcW w:type="dxa" w:w="362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أضرار للممتلكات بسبب خطأ المشغل</w:t>
            </w:r>
          </w:p>
        </w:tc>
        <w:tc>
          <w:tcPr>
            <w:tcW w:type="dxa" w:w="226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تعويضات تقررها لجنة الوزارة</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غير محدودة بسقف — أخطر بند تعرّضاً</w:t>
            </w:r>
          </w:p>
        </w:tc>
      </w:tr>
      <w:tr>
        <w:trPr>
          <w:cantSplit/>
        </w:trPr>
        <w:tc>
          <w:tcPr>
            <w:tcW w:type="dxa" w:w="362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هدر مبيدات أو رش خارج البرنامج</w:t>
            </w:r>
          </w:p>
        </w:tc>
        <w:tc>
          <w:tcPr>
            <w:tcW w:type="dxa" w:w="226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خصم قيمة المبيدات</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خصم مباشر من المستخلص</w:t>
            </w:r>
          </w:p>
        </w:tc>
      </w:tr>
    </w:tbl>
    <w:p>
      <w:pPr>
        <w:bidi w:val="1"/>
        <w:spacing w:before="0" w:after="120" w:line="348" w:lineRule="auto"/>
        <w:jc w:val="both"/>
      </w:pPr>
      <w:r>
        <w:rPr>
          <w:rFonts w:ascii="Arial" w:hAnsi="Arial" w:cs="Arial" w:eastAsia="Arial"/>
          <w:b w:val="0"/>
          <w:i w:val="0"/>
          <w:color w:val="1F252B"/>
          <w:sz w:val="18"/>
          <w:szCs w:val="18"/>
          <w:rtl w:val="1"/>
        </w:rPr>
        <w:t>ونتعرّض هنا لأخطر بند في الكراسة من وجهة نظرنا: التعويضات عن الأضرار التي تقررها لجنة الوزارة، وهي غير مسقوفة بعشرة بالمائة ولا بأي نسبة أخرى. ولذلك أدرجنا داخل سعر الفدان احتياطياً للمخاطر، واشترطنا في إجراءاتنا التشغيلية تأمين مسؤولية مدنية يغطي أضرار الغير، وتوثيقاً مصوّراً وإحداثياً لكل رحلة رش حتى يكون الدفاع عن أي مطالبة قائماً على بيانات لا على تقديرات.</w:t>
      </w:r>
    </w:p>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ما لا نطلبه ولن نطلبه بعد الترسية</w:t>
            </w:r>
          </w:p>
          <w:p>
            <w:pPr>
              <w:bidi w:val="1"/>
              <w:spacing w:after="0" w:line="324" w:lineRule="auto"/>
              <w:jc w:val="both"/>
            </w:pPr>
            <w:r>
              <w:rPr>
                <w:rFonts w:ascii="Arial" w:hAnsi="Arial" w:cs="Arial" w:eastAsia="Arial"/>
                <w:b w:val="0"/>
                <w:i w:val="0"/>
                <w:color w:val="1F252B"/>
                <w:sz w:val="19"/>
                <w:szCs w:val="19"/>
                <w:rtl w:val="1"/>
              </w:rPr>
              <w:t>لن نطلب تمديداً للمدة بسبب الطقس أو الأعطال إلا وفق نص البند (6.1/3) الذي يقبل التمديد إذا كان السبب مما يتعذر تجنبه، ولن نطالب بأي تعويض عن أيام التوقف، لأن هذه المخاطر مسعّرة ومستوعبة في سعر الفدان المقدَّم.</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8   </w:t>
      </w:r>
      <w:r>
        <w:rPr>
          <w:rFonts w:ascii="Arial" w:hAnsi="Arial" w:cs="Arial" w:eastAsia="Arial"/>
          <w:b/>
          <w:i w:val="0"/>
          <w:color w:val="142B45"/>
          <w:sz w:val="32"/>
          <w:szCs w:val="32"/>
          <w:rtl w:val="1"/>
        </w:rPr>
        <w:t>المحتوى المحلي والمؤسسات الصغيرة والمتوسطة</w:t>
      </w:r>
    </w:p>
    <w:p>
      <w:pPr>
        <w:bidi w:val="1"/>
        <w:spacing w:before="0" w:after="120" w:line="348" w:lineRule="auto"/>
        <w:jc w:val="both"/>
      </w:pPr>
      <w:r>
        <w:rPr>
          <w:rFonts w:ascii="Arial" w:hAnsi="Arial" w:cs="Arial" w:eastAsia="Arial"/>
          <w:b w:val="0"/>
          <w:i w:val="0"/>
          <w:color w:val="1F252B"/>
          <w:sz w:val="22"/>
          <w:szCs w:val="22"/>
          <w:rtl w:val="1"/>
        </w:rPr>
        <w:t>المحتوى المحلي في هذه المناقصة ليس نموذجاً يُملأ، بل بند تقييمي وخصم مالي في آن واحد: تنص الكراسة على خصم قيمة البند المخالف من الدفعات عند عدم الالتزام بالأولويات (2.1.21). وقد تعاملنا معه على هذا الأساس.</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2041"/>
        <w:gridCol w:w="6009"/>
        <w:gridCol w:w="1361"/>
      </w:tblGrid>
      <w:tr>
        <w:trPr>
          <w:cantSplit/>
          <w:tblHeader/>
        </w:trPr>
        <w:tc>
          <w:tcPr>
            <w:tcW w:type="dxa" w:w="204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المكوّن</w:t>
            </w:r>
          </w:p>
        </w:tc>
        <w:tc>
          <w:tcPr>
            <w:tcW w:type="dxa" w:w="6009"/>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التزامنا</w:t>
            </w:r>
          </w:p>
        </w:tc>
        <w:tc>
          <w:tcPr>
            <w:tcW w:type="dxa" w:w="136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المرجع</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القوى العاملة</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طاقم عماني 100%: عشر فرق، كل فريق ثلاثة أفراد (30 فرداً) مشغلين وفنيين وخدمات أرضية</w:t>
            </w:r>
          </w:p>
        </w:tc>
        <w:tc>
          <w:tcPr>
            <w:tcW w:type="dxa" w:w="136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ثالثاً/أ/3</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نسبة التعمين</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شهادة التعمين الإلكترونية سارية ومرفقة، وتُحدَّث عند كل تقديم</w:t>
            </w:r>
          </w:p>
        </w:tc>
        <w:tc>
          <w:tcPr>
            <w:tcW w:type="dxa" w:w="136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2.2.1/8</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تدريب الكوادر العمانية</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خطة تدريب سنوية على حساب الشركة، لا تُحمَّل على تكلفة المشروع</w:t>
            </w:r>
          </w:p>
        </w:tc>
        <w:tc>
          <w:tcPr>
            <w:tcW w:type="dxa" w:w="136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2.1.21</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التعاقد من الباطن</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ما لا يقل عن 10% من قيمة الإسناد للمؤسسات الصغيرة والمتوسطة، عبر نظام «إسناد»</w:t>
            </w:r>
          </w:p>
        </w:tc>
        <w:tc>
          <w:tcPr>
            <w:tcW w:type="dxa" w:w="136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2.1.21</w:t>
            </w:r>
          </w:p>
        </w:tc>
      </w:tr>
      <w:tr>
        <w:trPr>
          <w:cantSplit/>
        </w:trPr>
        <w:tc>
          <w:tcPr>
            <w:tcW w:type="dxa" w:w="204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الشراء المحلي</w:t>
            </w:r>
          </w:p>
        </w:tc>
        <w:tc>
          <w:tcPr>
            <w:tcW w:type="dxa" w:w="600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الأولوية للقائمة الإلزامية ثم للشركات المحلية، ولا استثناء إلا بموافقة مسبقة</w:t>
            </w:r>
          </w:p>
        </w:tc>
        <w:tc>
          <w:tcPr>
            <w:tcW w:type="dxa" w:w="1361"/>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2.1.21</w:t>
            </w:r>
          </w:p>
        </w:tc>
      </w:tr>
      <w:tr>
        <w:trPr>
          <w:cantSplit/>
        </w:trPr>
        <w:tc>
          <w:tcPr>
            <w:tcW w:type="dxa" w:w="204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الاستقطاع</w:t>
            </w:r>
          </w:p>
        </w:tc>
        <w:tc>
          <w:tcPr>
            <w:tcW w:type="dxa" w:w="600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1.2% من قيمة الفواتير لدعم التشغيل والتدريب</w:t>
            </w:r>
          </w:p>
        </w:tc>
        <w:tc>
          <w:tcPr>
            <w:tcW w:type="dxa" w:w="1361"/>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6.1/6</w:t>
            </w:r>
          </w:p>
        </w:tc>
      </w:tr>
    </w:tbl>
    <w:p>
      <w:pPr>
        <w:bidi w:val="1"/>
        <w:spacing w:before="0" w:after="160" w:line="348" w:lineRule="auto"/>
        <w:jc w:val="both"/>
      </w:pPr>
      <w:r>
        <w:rPr>
          <w:rFonts w:ascii="Arial" w:hAnsi="Arial" w:cs="Arial" w:eastAsia="Arial"/>
          <w:b w:val="0"/>
          <w:i w:val="0"/>
          <w:color w:val="1F252B"/>
          <w:sz w:val="19"/>
          <w:szCs w:val="19"/>
          <w:rtl w:val="1"/>
        </w:rPr>
        <w:t>وحزم العمل التي نعتزم طرحها للمؤسسات الصغيرة والمتوسطة محددة بطبيعتها ولا تحتاج إلى تقسيم مصطنع: تشغيل وصيانة السيارات، والنقل واللوجستيات بين الولايات، والإعاشة والإقامة الميدانية، والحراسة، وخدمات الطباعة والتوثيق الميداني، ودعم إدخال ومعالجة بيانات مسار الرش. وهي أعمال يمكن قياسها وفوترتها ومتابعة جودتها دون المساس بمسؤوليتنا المباشرة أمام الوزارة عن نجاح الرش.</w:t>
      </w:r>
    </w:p>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أثر المحتوى المحلي على السعر</w:t>
            </w:r>
          </w:p>
          <w:p>
            <w:pPr>
              <w:bidi w:val="1"/>
              <w:spacing w:after="0" w:line="324" w:lineRule="auto"/>
              <w:jc w:val="both"/>
            </w:pPr>
            <w:r>
              <w:rPr>
                <w:rFonts w:ascii="Arial" w:hAnsi="Arial" w:cs="Arial" w:eastAsia="Arial"/>
                <w:b w:val="0"/>
                <w:i w:val="0"/>
                <w:color w:val="1F252B"/>
                <w:sz w:val="19"/>
                <w:szCs w:val="19"/>
                <w:rtl w:val="1"/>
              </w:rPr>
              <w:t>الالتزام بطاقم عماني كامل يرفع كلفة الأجور مقارنة بالبديل الوافد، وقد استُوعب ذلك في سعر الفدان ولم يُعرض كبند إضافي. وفي المقابل، فإن تدريب الكوادر لا يُحمَّل على تكلفة المشروع وفق نص الكراسة، ولذلك لم يُدرج في نموذج التكلفة، ونتحمّله كشركة.</w:t>
            </w:r>
          </w:p>
        </w:tc>
      </w:tr>
    </w:tbl>
    <w:p>
      <w:pPr>
        <w:keepNext/>
        <w:pBdr>
          <w:bottom w:val="single" w:sz="8" w:space="4" w:color="9C7B3F"/>
        </w:pBdr>
        <w:bidi w:val="1"/>
        <w:spacing w:before="360" w:after="40" w:line="276" w:lineRule="auto"/>
        <w:jc w:val="both"/>
        <w:outlineLvl w:val="0"/>
      </w:pPr>
      <w:r>
        <w:rPr>
          <w:rFonts w:ascii="Arial" w:hAnsi="Arial" w:cs="Arial" w:eastAsia="Arial"/>
          <w:b/>
          <w:i w:val="0"/>
          <w:color w:val="9C7B3F"/>
          <w:sz w:val="30"/>
          <w:szCs w:val="30"/>
          <w:rtl w:val="1"/>
        </w:rPr>
        <w:t xml:space="preserve">9   </w:t>
      </w:r>
      <w:r>
        <w:rPr>
          <w:rFonts w:ascii="Arial" w:hAnsi="Arial" w:cs="Arial" w:eastAsia="Arial"/>
          <w:b/>
          <w:i w:val="0"/>
          <w:color w:val="142B45"/>
          <w:sz w:val="32"/>
          <w:szCs w:val="32"/>
          <w:rtl w:val="1"/>
        </w:rPr>
        <w:t>الضرائب والاستقطاعات</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ضريبة القيمة المضافة: 5% على البنود الخاضعة، معروضة كسطر مستقل في ملخص الأسعار كما هو مطلوب في الصفحة 19، وغير محمّلة في سعر الفدان.</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استقطاع دعم التشغيل والتدريب: 1.2% من قيمة كل فاتورة، وفق التعميم رقم 13/2024 والبند (6.1/6)، ومحمّل داخل المصاريف العامة.</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الرسوم الجمركية وتكاليف التخليص: على المقاول، ومحمّلة في كلفة الأسطول والمعدات.</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ضريبة الدخل على الشركة: التزام مستقل للشركة ولا يُحمَّل على الوزارة ولا يظهر كبند في العرض.</w:t>
      </w:r>
    </w:p>
    <w:p>
      <w:pPr>
        <w:bidi w:val="1"/>
        <w:spacing w:before="0" w:after="60" w:line="324" w:lineRule="auto"/>
        <w:ind w:left="312"/>
        <w:jc w:val="both"/>
      </w:pPr>
      <w:r>
        <w:rPr>
          <w:rFonts w:ascii="Arial" w:hAnsi="Arial" w:cs="Arial" w:eastAsia="Arial"/>
          <w:b/>
          <w:i w:val="0"/>
          <w:color w:val="9C7B3F"/>
          <w:sz w:val="21"/>
          <w:szCs w:val="21"/>
          <w:rtl w:val="1"/>
        </w:rPr>
        <w:t xml:space="preserve">▪  </w:t>
      </w:r>
      <w:r>
        <w:rPr>
          <w:rFonts w:ascii="Arial" w:hAnsi="Arial" w:cs="Arial" w:eastAsia="Arial"/>
          <w:b w:val="0"/>
          <w:i w:val="0"/>
          <w:color w:val="1F252B"/>
          <w:sz w:val="21"/>
          <w:szCs w:val="21"/>
          <w:rtl w:val="1"/>
        </w:rPr>
        <w:t>أي رسم أو ضريبة جديدة تُفرض أثناء العقد ولم تكن قائمة عند التقديم: تُعامل وفق ما يقره القانون، ونتحمّلها دون تعديل سعر الفدان المعروض، حفظاً لشرط ثبات الأسعار في البند (2.1.10).</w:t>
      </w:r>
    </w:p>
    <w:p>
      <w:r>
        <w:br w:type="page"/>
      </w:r>
    </w:p>
    <w:p>
      <w:pPr>
        <w:keepNext/>
        <w:pBdr>
          <w:bottom w:val="single" w:sz="8" w:space="4" w:color="9C7B3F"/>
        </w:pBdr>
        <w:bidi w:val="1"/>
        <w:spacing w:before="360" w:after="40" w:line="276" w:lineRule="auto"/>
        <w:jc w:val="both"/>
        <w:outlineLvl w:val="0"/>
      </w:pPr>
      <w:r>
        <w:rPr>
          <w:rFonts w:ascii="Arial" w:hAnsi="Arial" w:cs="Arial" w:eastAsia="Arial"/>
          <w:b/>
          <w:i w:val="0"/>
          <w:color w:val="9C7B3F"/>
          <w:sz w:val="30"/>
          <w:szCs w:val="30"/>
          <w:rtl w:val="1"/>
        </w:rPr>
        <w:t xml:space="preserve">10   </w:t>
      </w:r>
      <w:r>
        <w:rPr>
          <w:rFonts w:ascii="Arial" w:hAnsi="Arial" w:cs="Arial" w:eastAsia="Arial"/>
          <w:b/>
          <w:i w:val="0"/>
          <w:color w:val="142B45"/>
          <w:sz w:val="32"/>
          <w:szCs w:val="32"/>
          <w:rtl w:val="1"/>
        </w:rPr>
        <w:t>الضمانات البنكية والتدفق النقدي</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2154"/>
        <w:gridCol w:w="7257"/>
      </w:tblGrid>
      <w:tr>
        <w:trPr>
          <w:cantSplit/>
          <w:tblHeader/>
        </w:trPr>
        <w:tc>
          <w:tcPr>
            <w:tcW w:type="dxa" w:w="215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البند</w:t>
            </w:r>
          </w:p>
        </w:tc>
        <w:tc>
          <w:tcPr>
            <w:tcW w:type="dxa" w:w="7257"/>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الالتزام</w:t>
            </w:r>
          </w:p>
        </w:tc>
      </w:tr>
      <w:tr>
        <w:trPr>
          <w:cantSplit/>
        </w:trPr>
        <w:tc>
          <w:tcPr>
            <w:tcW w:type="dxa" w:w="215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ضمان حسن التنفيذ</w:t>
            </w:r>
          </w:p>
        </w:tc>
        <w:tc>
          <w:tcPr>
            <w:tcW w:type="dxa" w:w="7257"/>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5% من إجمالي قيمة العقد، ضمان بنكي غير مشروط من مصرف مسجل في السلطنة، يُقدَّم خلال عشرة أيام من الإخطار الرسمي</w:t>
            </w:r>
          </w:p>
        </w:tc>
      </w:tr>
      <w:tr>
        <w:trPr>
          <w:cantSplit/>
        </w:trPr>
        <w:tc>
          <w:tcPr>
            <w:tcW w:type="dxa" w:w="2154"/>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صلاحية الضمان</w:t>
            </w:r>
          </w:p>
        </w:tc>
        <w:tc>
          <w:tcPr>
            <w:tcW w:type="dxa" w:w="7257"/>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تغطي كامل فترة العقد حتى الحساب الختامي</w:t>
            </w:r>
          </w:p>
        </w:tc>
      </w:tr>
      <w:tr>
        <w:trPr>
          <w:cantSplit/>
        </w:trPr>
        <w:tc>
          <w:tcPr>
            <w:tcW w:type="dxa" w:w="215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ضمان الدفعة المقدمة</w:t>
            </w:r>
          </w:p>
        </w:tc>
        <w:tc>
          <w:tcPr>
            <w:tcW w:type="dxa" w:w="7257"/>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لا ينطبق — لم تُمنح دفعة مقدمة؛ وإذا مُنحت، يُقدَّم ضمان مماثل وفق النموذج (7.1.5)</w:t>
            </w:r>
          </w:p>
        </w:tc>
      </w:tr>
      <w:tr>
        <w:trPr>
          <w:cantSplit/>
        </w:trPr>
        <w:tc>
          <w:tcPr>
            <w:tcW w:type="dxa" w:w="2154"/>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صلاحية العرض</w:t>
            </w:r>
          </w:p>
        </w:tc>
        <w:tc>
          <w:tcPr>
            <w:tcW w:type="dxa" w:w="7257"/>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تسعون (90) يوماً من التاريخ المحدد لتقديم العطاءات</w:t>
            </w:r>
          </w:p>
        </w:tc>
      </w:tr>
      <w:tr>
        <w:trPr>
          <w:cantSplit/>
        </w:trPr>
        <w:tc>
          <w:tcPr>
            <w:tcW w:type="dxa" w:w="215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دورة التحصيل</w:t>
            </w:r>
          </w:p>
        </w:tc>
        <w:tc>
          <w:tcPr>
            <w:tcW w:type="dxa" w:w="7257"/>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حتى 45 يوماً لإصدار شهادة الإتمام، ثم 60 يوماً للسداد — أي ما يقارب 105 أيام من انتهاء الأعمال</w:t>
            </w:r>
          </w:p>
        </w:tc>
      </w:tr>
      <w:tr>
        <w:trPr>
          <w:cantSplit/>
        </w:trPr>
        <w:tc>
          <w:tcPr>
            <w:tcW w:type="dxa" w:w="2154"/>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التمويل</w:t>
            </w:r>
          </w:p>
        </w:tc>
        <w:tc>
          <w:tcPr>
            <w:tcW w:type="dxa" w:w="7257"/>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8"/>
                <w:szCs w:val="18"/>
                <w:rtl w:val="1"/>
              </w:rPr>
              <w:t>حد تمويلي مخصص يغطي ثلاثة أشهر من التكاليف التشغيلية قبل أول مستخلص، دون الاعتماد على دفعة مقدمة</w:t>
            </w:r>
          </w:p>
        </w:tc>
      </w:tr>
    </w:tbl>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11   </w:t>
      </w:r>
      <w:r>
        <w:rPr>
          <w:rFonts w:ascii="Arial" w:hAnsi="Arial" w:cs="Arial" w:eastAsia="Arial"/>
          <w:b/>
          <w:i w:val="0"/>
          <w:color w:val="142B45"/>
          <w:sz w:val="32"/>
          <w:szCs w:val="32"/>
          <w:rtl w:val="1"/>
        </w:rPr>
        <w:t>المخاطر التجارية وتوزيعها</w:t>
      </w:r>
    </w:p>
    <w:p>
      <w:pPr>
        <w:bidi w:val="1"/>
        <w:spacing w:before="0" w:after="120" w:line="348" w:lineRule="auto"/>
        <w:jc w:val="both"/>
      </w:pPr>
      <w:r>
        <w:rPr>
          <w:rFonts w:ascii="Arial" w:hAnsi="Arial" w:cs="Arial" w:eastAsia="Arial"/>
          <w:b w:val="0"/>
          <w:i w:val="0"/>
          <w:color w:val="1F252B"/>
          <w:sz w:val="20"/>
          <w:szCs w:val="20"/>
          <w:rtl w:val="1"/>
        </w:rPr>
        <w:t>المخاطر في هذا العقد لا تتوزع بالتساوي: الوزارة تحتفظ بحق التقييم النهائي غير القابل للطعن، وبحق الخصم، وبحق الفسخ؛ والمقاول يحمل مخاطر التنفيذ والطقس والأعطال والأضرار. والجدول التالي يبيّن كيف تعاملنا مع كل مخاطرة داخل السعر أو داخل خطة التنفيذ، حتى لا تتحول إلى مفاوضات بعد الترسية.</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2608"/>
        <w:gridCol w:w="3402"/>
        <w:gridCol w:w="3402"/>
      </w:tblGrid>
      <w:tr>
        <w:trPr>
          <w:cantSplit/>
          <w:tblHeader/>
        </w:trPr>
        <w:tc>
          <w:tcPr>
            <w:tcW w:type="dxa" w:w="260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المخاطرة</w:t>
            </w:r>
          </w:p>
        </w:tc>
        <w:tc>
          <w:tcPr>
            <w:tcW w:type="dxa" w:w="3402"/>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الأثر المحتمل</w:t>
            </w:r>
          </w:p>
        </w:tc>
        <w:tc>
          <w:tcPr>
            <w:tcW w:type="dxa" w:w="3402"/>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المعالجة</w:t>
            </w:r>
          </w:p>
        </w:tc>
      </w:tr>
      <w:tr>
        <w:trPr>
          <w:cantSplit/>
        </w:trPr>
        <w:tc>
          <w:tcPr>
            <w:tcW w:type="dxa" w:w="260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عدم بلوغ كثافة 15 قطيرة/سم²</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خصم مساحة القرى الفاشلة وتحصيل قيمة المبيدات</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معايرة إلزامية قبل البدء، واختبار ترسيب على أوراق تقييم، وضبط معدل التدفق بموافقة الوزارة</w:t>
            </w:r>
          </w:p>
        </w:tc>
      </w:tr>
      <w:tr>
        <w:trPr>
          <w:cantSplit/>
        </w:trPr>
        <w:tc>
          <w:tcPr>
            <w:tcW w:type="dxa" w:w="260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الطقس (رياح، حرارة، رطوبة، مطر)</w:t>
            </w:r>
          </w:p>
        </w:tc>
        <w:tc>
          <w:tcPr>
            <w:tcW w:type="dxa" w:w="340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أيام عمل مفقودة وضغط على الجدول</w:t>
            </w:r>
          </w:p>
        </w:tc>
        <w:tc>
          <w:tcPr>
            <w:tcW w:type="dxa" w:w="340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جدولة صباحية مبكرة، فرق احتياطية، خطة استدراك معلنة للوزارة</w:t>
            </w:r>
          </w:p>
        </w:tc>
      </w:tr>
      <w:tr>
        <w:trPr>
          <w:cantSplit/>
        </w:trPr>
        <w:tc>
          <w:tcPr>
            <w:tcW w:type="dxa" w:w="260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عطل طائرة أو جهاز</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غرامة 1% يومياً بعد ثلاثة أيام</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مخزون قطع غيار في الموقع، وطائرات احتياطية ضمن الأسطول، وفني مقيم</w:t>
            </w:r>
          </w:p>
        </w:tc>
      </w:tr>
      <w:tr>
        <w:trPr>
          <w:cantSplit/>
        </w:trPr>
        <w:tc>
          <w:tcPr>
            <w:tcW w:type="dxa" w:w="260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تأخر التصاريح والجمارك</w:t>
            </w:r>
          </w:p>
        </w:tc>
        <w:tc>
          <w:tcPr>
            <w:tcW w:type="dxa" w:w="340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تأخر البدء وتعرض العقد للفسخ بعد 15 يوماً</w:t>
            </w:r>
          </w:p>
        </w:tc>
        <w:tc>
          <w:tcPr>
            <w:tcW w:type="dxa" w:w="340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بدء الإجراءات قبل الترسية، ومخلّص جمركي متعاقد مسبقاً</w:t>
            </w:r>
          </w:p>
        </w:tc>
      </w:tr>
      <w:tr>
        <w:trPr>
          <w:cantSplit/>
        </w:trPr>
        <w:tc>
          <w:tcPr>
            <w:tcW w:type="dxa" w:w="260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تغيّر المساحة داخل الفئة</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كلفة ثابتة لا تُسترد إذا قلت المساحة</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التسعير على أساس الحد الأدنى للفئة، لا على أساس المساحة المأمولة</w:t>
            </w:r>
          </w:p>
        </w:tc>
      </w:tr>
      <w:tr>
        <w:trPr>
          <w:cantSplit/>
        </w:trPr>
        <w:tc>
          <w:tcPr>
            <w:tcW w:type="dxa" w:w="2608"/>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أضرار للغير أو للمزارع</w:t>
            </w:r>
          </w:p>
        </w:tc>
        <w:tc>
          <w:tcPr>
            <w:tcW w:type="dxa" w:w="340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تعويضات غير مسقوفة تقررها لجنة الوزارة</w:t>
            </w:r>
          </w:p>
        </w:tc>
        <w:tc>
          <w:tcPr>
            <w:tcW w:type="dxa" w:w="3402"/>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تأمين مسؤولية مدنية، وتوثيق إحداثي ومصور لكل رحلة رش</w:t>
            </w:r>
          </w:p>
        </w:tc>
      </w:tr>
      <w:tr>
        <w:trPr>
          <w:cantSplit/>
        </w:trPr>
        <w:tc>
          <w:tcPr>
            <w:tcW w:type="dxa" w:w="260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تأخر السداد</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ضغط على رأس المال العامل</w:t>
            </w:r>
          </w:p>
        </w:tc>
        <w:tc>
          <w:tcPr>
            <w:tcW w:type="dxa" w:w="3402"/>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حد تمويلي مخصص يغطي ثلاثة أشهر من التشغيل</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12   </w:t>
      </w:r>
      <w:r>
        <w:rPr>
          <w:rFonts w:ascii="Arial" w:hAnsi="Arial" w:cs="Arial" w:eastAsia="Arial"/>
          <w:b/>
          <w:i w:val="0"/>
          <w:color w:val="142B45"/>
          <w:sz w:val="32"/>
          <w:szCs w:val="32"/>
          <w:rtl w:val="1"/>
        </w:rPr>
        <w:t>استفسارات مطلوبة قبل التقديم</w:t>
      </w:r>
    </w:p>
    <w:p>
      <w:pPr>
        <w:bidi w:val="1"/>
        <w:spacing w:before="0" w:after="120" w:line="348" w:lineRule="auto"/>
        <w:jc w:val="both"/>
      </w:pPr>
      <w:r>
        <w:rPr>
          <w:rFonts w:ascii="Arial" w:hAnsi="Arial" w:cs="Arial" w:eastAsia="Arial"/>
          <w:b w:val="0"/>
          <w:i w:val="0"/>
          <w:color w:val="1F252B"/>
          <w:sz w:val="20"/>
          <w:szCs w:val="20"/>
          <w:rtl w:val="1"/>
        </w:rPr>
        <w:t>الاستفسارات التالية مرفوعة بصورة مستقلة عبر نظام «إسناد» وفق البند (2.1.4)، وليست تحفظاً على العرض. وقد صيغ العرض بحيث يبقى صحيحاً في أي من الاحتمالين، إلا حيث تترتب على الإجابة زيادة في الكمية لا في السعر.</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567"/>
        <w:gridCol w:w="5329"/>
        <w:gridCol w:w="3515"/>
      </w:tblGrid>
      <w:tr>
        <w:trPr>
          <w:cantSplit/>
          <w:tblHeader/>
        </w:trPr>
        <w:tc>
          <w:tcPr>
            <w:tcW w:type="dxa" w:w="567"/>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w:t>
            </w:r>
          </w:p>
        </w:tc>
        <w:tc>
          <w:tcPr>
            <w:tcW w:type="dxa" w:w="5329"/>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الاستفسار</w:t>
            </w:r>
          </w:p>
        </w:tc>
        <w:tc>
          <w:tcPr>
            <w:tcW w:type="dxa" w:w="3515"/>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لماذا يهمنا</w:t>
            </w:r>
          </w:p>
        </w:tc>
      </w:tr>
      <w:tr>
        <w:trPr>
          <w:cantSplit/>
        </w:trPr>
        <w:tc>
          <w:tcPr>
            <w:tcW w:type="dxa" w:w="56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1</w:t>
            </w:r>
          </w:p>
        </w:tc>
        <w:tc>
          <w:tcPr>
            <w:tcW w:type="dxa" w:w="532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الفئة الثالثة واردة في قوائم الكميات بمدى (40,001–60,000) فدان، وواردة في البند (ثالثاً/ب/1، ص 22) بمدى (40,001–50,000). أي المدَيين معتمد؟</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يحدد الحد الأعلى للكمية ومنه القيمة القصوى للعرض</w:t>
            </w:r>
          </w:p>
        </w:tc>
      </w:tr>
      <w:tr>
        <w:trPr>
          <w:cantSplit/>
        </w:trPr>
        <w:tc>
          <w:tcPr>
            <w:tcW w:type="dxa" w:w="56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2</w:t>
            </w:r>
          </w:p>
        </w:tc>
        <w:tc>
          <w:tcPr>
            <w:tcW w:type="dxa" w:w="532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الملحق (1) يشترط خزاناً بسعة 70 لتراً، بينما البند (ثانياً، ص 21) يشترط سعة لا تقل عن 30 لتراً. هل السعة 70 لتراً حد أدنى إلزامي؟</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يحدد طراز الطائرة وكلفتها الرأسمالية</w:t>
            </w:r>
          </w:p>
        </w:tc>
      </w:tr>
      <w:tr>
        <w:trPr>
          <w:cantSplit/>
        </w:trPr>
        <w:tc>
          <w:tcPr>
            <w:tcW w:type="dxa" w:w="56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3</w:t>
            </w:r>
          </w:p>
        </w:tc>
        <w:tc>
          <w:tcPr>
            <w:tcW w:type="dxa" w:w="532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سعر الفدان لموسم رش واحد، أم يغطي الجيلين الربيعي والخريفي في السنة؟</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يضاعف الكمية السنوية دون تغيير سعر الوحدة</w:t>
            </w:r>
          </w:p>
        </w:tc>
      </w:tr>
      <w:tr>
        <w:trPr>
          <w:cantSplit/>
        </w:trPr>
        <w:tc>
          <w:tcPr>
            <w:tcW w:type="dxa" w:w="56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4</w:t>
            </w:r>
          </w:p>
        </w:tc>
        <w:tc>
          <w:tcPr>
            <w:tcW w:type="dxa" w:w="532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الكمية التعاقدية هي كامل مساحة الفئة، أم الحد الأدنى فقط هو المضمون للدفع؟</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يحدد ما إذا كان التسعير على الحد الأدنى صحيحاً</w:t>
            </w:r>
          </w:p>
        </w:tc>
      </w:tr>
      <w:tr>
        <w:trPr>
          <w:cantSplit/>
        </w:trPr>
        <w:tc>
          <w:tcPr>
            <w:tcW w:type="dxa" w:w="56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5</w:t>
            </w:r>
          </w:p>
        </w:tc>
        <w:tc>
          <w:tcPr>
            <w:tcW w:type="dxa" w:w="532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تُمنح دفعة مقدمة؟ النموذج (7.1.5) موجود في الكراسة دون نص يمنحها.</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يؤثر في كلفة التمويل وفي سعر الفدان</w:t>
            </w:r>
          </w:p>
        </w:tc>
      </w:tr>
      <w:tr>
        <w:trPr>
          <w:cantSplit/>
        </w:trPr>
        <w:tc>
          <w:tcPr>
            <w:tcW w:type="dxa" w:w="56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6</w:t>
            </w:r>
          </w:p>
        </w:tc>
        <w:tc>
          <w:tcPr>
            <w:tcW w:type="dxa" w:w="532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تُطلب الأعداد (20 طائرة، 30 فرداً، 17 سيارة) لكل فئة على حدة، أم مرة واحدة للعقد ككل؟</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يضاعف الكلفة الثابتة ثلاث مرات في حال الإسناد المجزأ</w:t>
            </w:r>
          </w:p>
        </w:tc>
      </w:tr>
      <w:tr>
        <w:trPr>
          <w:cantSplit/>
        </w:trPr>
        <w:tc>
          <w:tcPr>
            <w:tcW w:type="dxa" w:w="56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7</w:t>
            </w:r>
          </w:p>
        </w:tc>
        <w:tc>
          <w:tcPr>
            <w:tcW w:type="dxa" w:w="532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جميع بنود الرش خاضعة لضريبة القيمة المضافة 5%؟</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يحدد معالجة الضريبة في ملخص الأسعار</w:t>
            </w:r>
          </w:p>
        </w:tc>
      </w:tr>
      <w:tr>
        <w:trPr>
          <w:cantSplit/>
        </w:trPr>
        <w:tc>
          <w:tcPr>
            <w:tcW w:type="dxa" w:w="56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8</w:t>
            </w:r>
          </w:p>
        </w:tc>
        <w:tc>
          <w:tcPr>
            <w:tcW w:type="dxa" w:w="5329"/>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يشمل توفير المبيدات نقلها وتخزينها وتسليمها في موقع الرش؟</w:t>
            </w:r>
          </w:p>
        </w:tc>
        <w:tc>
          <w:tcPr>
            <w:tcW w:type="dxa" w:w="3515"/>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قد يضيف كلفة لوجستية غير مسعّرة</w:t>
            </w:r>
          </w:p>
        </w:tc>
      </w:tr>
      <w:tr>
        <w:trPr>
          <w:cantSplit/>
        </w:trPr>
        <w:tc>
          <w:tcPr>
            <w:tcW w:type="dxa" w:w="56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6"/>
                <w:szCs w:val="17"/>
                <w:rtl w:val="1"/>
              </w:rPr>
              <w:t>9</w:t>
            </w:r>
          </w:p>
        </w:tc>
        <w:tc>
          <w:tcPr>
            <w:tcW w:type="dxa" w:w="5329"/>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هل يُقبل أسطول مستأجر أم يجب أن يكون مملوكاً للشركة؟</w:t>
            </w:r>
          </w:p>
        </w:tc>
        <w:tc>
          <w:tcPr>
            <w:tcW w:type="dxa" w:w="3515"/>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6"/>
                <w:szCs w:val="17"/>
                <w:rtl w:val="1"/>
              </w:rPr>
              <w:t>يغيّر هيكل التكلفة الرأسمالية</w:t>
            </w:r>
          </w:p>
        </w:tc>
      </w:tr>
    </w:tbl>
    <w:p>
      <w:r>
        <w:br w:type="page"/>
      </w:r>
    </w:p>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13   </w:t>
      </w:r>
      <w:r>
        <w:rPr>
          <w:rFonts w:ascii="Arial" w:hAnsi="Arial" w:cs="Arial" w:eastAsia="Arial"/>
          <w:b/>
          <w:i w:val="0"/>
          <w:color w:val="142B45"/>
          <w:sz w:val="32"/>
          <w:szCs w:val="32"/>
          <w:rtl w:val="1"/>
        </w:rPr>
        <w:t>قائمة تحقق المغلف المالي</w:t>
      </w:r>
    </w:p>
    <w:p>
      <w:pPr>
        <w:bidi w:val="1"/>
        <w:spacing w:before="0" w:after="120" w:line="348" w:lineRule="auto"/>
        <w:jc w:val="both"/>
      </w:pPr>
      <w:r>
        <w:rPr>
          <w:rFonts w:ascii="Arial" w:hAnsi="Arial" w:cs="Arial" w:eastAsia="Arial"/>
          <w:b w:val="0"/>
          <w:i w:val="0"/>
          <w:color w:val="1F252B"/>
          <w:sz w:val="20"/>
          <w:szCs w:val="20"/>
          <w:rtl w:val="1"/>
        </w:rPr>
        <w:t>لا يُرفع العرض قبل إقفال كل بند في هذه القائمة. والبنود المتعلقة بالأسعار لا تُستكمل إلا باعتماد الإدارة المالية وتوقيع المفوض.</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كراسة الشروط والمواصفات موقّعة ومختومة من المفوض بالتوقيع (2.2.1/1).</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العرض المالي موقّع ومختوم من الشركة (2.2.1/2).</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الأسعار مدخلة إلكترونياً في صفحة قوائم الكميات ومحتسبة في النظام (2.1.7).</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مطابقة الأسعار المدخلة إلكترونياً مع الأسعار الواردة في هذا المستند.</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كتابة القيم بالأحرف ومطابقتها مع الأرقام.</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اعتماد الأسعار نهائياً من الإدارة المالية — الأسعار الحالية استرشادية.</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إرفاق إقرار الالتزام بالعطاء ساري المفعول لمدة 90 يوماً (2.1.12).</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إرفاق شهادة التعمين الإلكترونية السارية (2.2.1/8).</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إرفاق شهادة القيد في هيئة المشاريع والمناقصات والمحتوى المحلي والسجل التجاري.</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إرفاق شهادة تسجيل ضريبة القيمة المضافة.</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استكمال نماذج متطلبات المحتوى المحلي (القوى العاملة، التدريب، الخدمات، العقود من الباطن).</w:t>
      </w:r>
    </w:p>
    <w:p>
      <w:pPr>
        <w:bidi w:val="1"/>
        <w:spacing w:before="0" w:after="60" w:line="324" w:lineRule="auto"/>
        <w:ind w:left="312"/>
        <w:jc w:val="both"/>
      </w:pPr>
      <w:r>
        <w:rPr>
          <w:rFonts w:ascii="Arial" w:hAnsi="Arial" w:cs="Arial" w:eastAsia="Arial"/>
          <w:b w:val="0"/>
          <w:i w:val="0"/>
          <w:color w:val="9C7B3F"/>
          <w:sz w:val="21"/>
          <w:szCs w:val="21"/>
          <w:rtl w:val="1"/>
        </w:rPr>
        <w:t xml:space="preserve">☐  </w:t>
      </w:r>
      <w:r>
        <w:rPr>
          <w:rFonts w:ascii="Arial" w:hAnsi="Arial" w:cs="Arial" w:eastAsia="Arial"/>
          <w:b w:val="0"/>
          <w:i w:val="0"/>
          <w:color w:val="1F252B"/>
          <w:sz w:val="19"/>
          <w:szCs w:val="19"/>
          <w:rtl w:val="1"/>
        </w:rPr>
        <w:t>التحقق من عدم وجود أي تحفظ أو شرط في أي صفحة من صفحات العرض (2.1.11).</w:t>
      </w:r>
    </w:p>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تنبيه على الأسعار الحالية</w:t>
            </w:r>
          </w:p>
          <w:p>
            <w:pPr>
              <w:bidi w:val="1"/>
              <w:spacing w:after="0" w:line="324" w:lineRule="auto"/>
              <w:jc w:val="both"/>
            </w:pPr>
            <w:r>
              <w:rPr>
                <w:rFonts w:ascii="Arial" w:hAnsi="Arial" w:cs="Arial" w:eastAsia="Arial"/>
                <w:b w:val="0"/>
                <w:i w:val="0"/>
                <w:color w:val="1F252B"/>
                <w:sz w:val="19"/>
                <w:szCs w:val="19"/>
                <w:rtl w:val="1"/>
              </w:rPr>
              <w:t>الأسعار الواردة في القسم (4) أسعار استرشادية مبنية على نموذج التكلفة في الملحق (أ)، ومبنية على بيانات السوق المتاحة وليس على عقد تكاليف معتمد من الشركة. تُستبدل بأسعار الإدارة المالية قبل التقديم، ويُعاد إصدار المستند بعد الاستبدال حتى تتحدّث القيم بالأحرف وملخص الأسعار آلياً دون أخطاء حسابية.</w:t>
            </w:r>
          </w:p>
        </w:tc>
      </w:tr>
    </w:tbl>
    <w:p>
      <w:pPr>
        <w:keepNext/>
        <w:pBdr>
          <w:bottom w:val="single" w:sz="8" w:space="4" w:color="9C7B3F"/>
        </w:pBdr>
        <w:bidi w:val="1"/>
        <w:spacing w:before="200" w:after="40" w:line="276" w:lineRule="auto"/>
        <w:jc w:val="both"/>
        <w:outlineLvl w:val="0"/>
      </w:pPr>
      <w:r>
        <w:rPr>
          <w:rFonts w:ascii="Arial" w:hAnsi="Arial" w:cs="Arial" w:eastAsia="Arial"/>
          <w:b/>
          <w:i w:val="0"/>
          <w:color w:val="9C7B3F"/>
          <w:sz w:val="30"/>
          <w:szCs w:val="30"/>
          <w:rtl w:val="1"/>
        </w:rPr>
        <w:t xml:space="preserve">14   </w:t>
      </w:r>
      <w:r>
        <w:rPr>
          <w:rFonts w:ascii="Arial" w:hAnsi="Arial" w:cs="Arial" w:eastAsia="Arial"/>
          <w:b/>
          <w:i w:val="0"/>
          <w:color w:val="142B45"/>
          <w:sz w:val="32"/>
          <w:szCs w:val="32"/>
          <w:rtl w:val="1"/>
        </w:rPr>
        <w:t>الإقرار والتوقيع</w:t>
      </w:r>
    </w:p>
    <w:p>
      <w:pPr>
        <w:bidi w:val="1"/>
        <w:spacing w:before="0" w:after="120" w:line="348" w:lineRule="auto"/>
        <w:jc w:val="both"/>
      </w:pPr>
      <w:r>
        <w:rPr>
          <w:rFonts w:ascii="Arial" w:hAnsi="Arial" w:cs="Arial" w:eastAsia="Arial"/>
          <w:b w:val="0"/>
          <w:i w:val="0"/>
          <w:color w:val="1F252B"/>
          <w:sz w:val="22"/>
          <w:szCs w:val="22"/>
          <w:rtl w:val="1"/>
        </w:rPr>
        <w:t>نقر نحن الموقعين أدناه، بصفتنا المفوضين قانوناً عن شركة المملكة للخدمات والاستثمار ش.م.م (Kingdom Services &amp; Investment LLC)، بأن الأسعار الواردة في هذا العرض صحيحة ونهائية، وأنها مقدمة بالريال العُماني وثابتة طوال فترة التعاقد، وأن العرض ساري لمدة تسعين (90) يوماً من التاريخ المحدد لتقديم العطاءات، وأننا قبلنا كافة شروط كراسة الشروط والمواصفات وملاحقها دون قيد أو تحفظ، وأننا نتحمل كافة التزامات المقاول الواردة فيها بما في ذلك توفير الطائرات والطواقم والسيارات والتأمينات والتصاريح.</w:t>
      </w:r>
    </w:p>
    <w:p>
      <w:pPr>
        <w:bidi w:val="1"/>
        <w:spacing w:before="0" w:after="120" w:line="348" w:lineRule="auto"/>
        <w:jc w:val="both"/>
      </w:pPr>
      <w:r>
        <w:rPr>
          <w:rFonts w:ascii="Arial" w:hAnsi="Arial" w:cs="Arial" w:eastAsia="Arial"/>
          <w:b w:val="0"/>
          <w:i w:val="0"/>
          <w:color w:val="1F252B"/>
          <w:sz w:val="22"/>
          <w:szCs w:val="22"/>
          <w:rtl w:val="1"/>
        </w:rPr>
        <w:t>ونقر بأننا اطّلعنا على الملحق رقم (1) الخاص بالمواصفات الفنية للطائرات، وأن الأسطول الذي سنوفره يستوفي متطلباته، وأن أي إخلال بالمعايير الفنية يُعد إخلالاً بالعقد.</w:t>
      </w:r>
    </w:p>
    <w:tbl>
      <w:tblPr>
        <w:tblW w:type="auto" w:w="0"/>
        <w:tblLook w:firstColumn="1" w:firstRow="1" w:lastColumn="0" w:lastRow="0" w:noHBand="0" w:noVBand="1" w:val="04A0"/>
      </w:tblPr>
      <w:tblGrid>
        <w:gridCol w:w="4706"/>
        <w:gridCol w:w="4706"/>
      </w:tblGrid>
      <w:tr>
        <w:tc>
          <w:tcPr>
            <w:tcW w:type="dxa" w:w="2494"/>
            <w:shd w:val="clear" w:color="auto" w:fill="142B45"/>
            <w:tcMar>
              <w:top w:w="130" w:type="dxa"/>
              <w:bottom w:w="130" w:type="dxa"/>
              <w:left w:w="120" w:type="dxa"/>
              <w:right w:w="120" w:type="dxa"/>
            </w:tcMar>
          </w:tcPr>
          <w:p>
            <w:pPr>
              <w:bidi w:val="1"/>
              <w:jc w:val="right"/>
            </w:pPr>
            <w:r>
              <w:rPr>
                <w:rFonts w:ascii="Arial" w:hAnsi="Arial" w:cs="Arial" w:eastAsia="Arial"/>
                <w:b/>
                <w:i w:val="0"/>
                <w:color w:val="FFFFFF"/>
                <w:sz w:val="19"/>
                <w:szCs w:val="19"/>
                <w:rtl w:val="1"/>
              </w:rPr>
              <w:t>الاسم</w:t>
            </w:r>
          </w:p>
        </w:tc>
        <w:tc>
          <w:tcPr>
            <w:tcW w:type="dxa" w:w="6917"/>
            <w:tcMar>
              <w:top w:w="130" w:type="dxa"/>
              <w:bottom w:w="130" w:type="dxa"/>
              <w:left w:w="120" w:type="dxa"/>
              <w:right w:w="120" w:type="dxa"/>
            </w:tcMar>
          </w:tcPr>
          <w:p>
            <w:pPr>
              <w:bidi w:val="1"/>
              <w:jc w:val="right"/>
            </w:pPr>
            <w:r>
              <w:rPr>
                <w:rFonts w:ascii="Arial" w:hAnsi="Arial" w:cs="Arial" w:eastAsia="Arial"/>
                <w:b w:val="0"/>
                <w:i w:val="0"/>
                <w:color w:val="1F252B"/>
                <w:sz w:val="19"/>
                <w:szCs w:val="19"/>
                <w:rtl w:val="1"/>
              </w:rPr>
            </w:r>
          </w:p>
        </w:tc>
      </w:tr>
      <w:tr>
        <w:tc>
          <w:tcPr>
            <w:tcW w:type="dxa" w:w="2494"/>
            <w:shd w:val="clear" w:color="auto" w:fill="142B45"/>
            <w:tcMar>
              <w:top w:w="130" w:type="dxa"/>
              <w:bottom w:w="130" w:type="dxa"/>
              <w:left w:w="120" w:type="dxa"/>
              <w:right w:w="120" w:type="dxa"/>
            </w:tcMar>
          </w:tcPr>
          <w:p>
            <w:pPr>
              <w:bidi w:val="1"/>
              <w:jc w:val="right"/>
            </w:pPr>
            <w:r>
              <w:rPr>
                <w:rFonts w:ascii="Arial" w:hAnsi="Arial" w:cs="Arial" w:eastAsia="Arial"/>
                <w:b/>
                <w:i w:val="0"/>
                <w:color w:val="FFFFFF"/>
                <w:sz w:val="19"/>
                <w:szCs w:val="19"/>
                <w:rtl w:val="1"/>
              </w:rPr>
              <w:t>الصفة</w:t>
            </w:r>
          </w:p>
        </w:tc>
        <w:tc>
          <w:tcPr>
            <w:tcW w:type="dxa" w:w="6917"/>
            <w:tcMar>
              <w:top w:w="130" w:type="dxa"/>
              <w:bottom w:w="130" w:type="dxa"/>
              <w:left w:w="120" w:type="dxa"/>
              <w:right w:w="120" w:type="dxa"/>
            </w:tcMar>
          </w:tcPr>
          <w:p>
            <w:pPr>
              <w:bidi w:val="1"/>
              <w:jc w:val="right"/>
            </w:pPr>
            <w:r>
              <w:rPr>
                <w:rFonts w:ascii="Arial" w:hAnsi="Arial" w:cs="Arial" w:eastAsia="Arial"/>
                <w:b w:val="0"/>
                <w:i w:val="0"/>
                <w:color w:val="1F252B"/>
                <w:sz w:val="19"/>
                <w:szCs w:val="19"/>
                <w:rtl w:val="1"/>
              </w:rPr>
            </w:r>
          </w:p>
        </w:tc>
      </w:tr>
      <w:tr>
        <w:tc>
          <w:tcPr>
            <w:tcW w:type="dxa" w:w="2494"/>
            <w:shd w:val="clear" w:color="auto" w:fill="142B45"/>
            <w:tcMar>
              <w:top w:w="130" w:type="dxa"/>
              <w:bottom w:w="130" w:type="dxa"/>
              <w:left w:w="120" w:type="dxa"/>
              <w:right w:w="120" w:type="dxa"/>
            </w:tcMar>
          </w:tcPr>
          <w:p>
            <w:pPr>
              <w:bidi w:val="1"/>
              <w:jc w:val="right"/>
            </w:pPr>
            <w:r>
              <w:rPr>
                <w:rFonts w:ascii="Arial" w:hAnsi="Arial" w:cs="Arial" w:eastAsia="Arial"/>
                <w:b/>
                <w:i w:val="0"/>
                <w:color w:val="FFFFFF"/>
                <w:sz w:val="19"/>
                <w:szCs w:val="19"/>
                <w:rtl w:val="1"/>
              </w:rPr>
              <w:t>التوقيع</w:t>
            </w:r>
          </w:p>
        </w:tc>
        <w:tc>
          <w:tcPr>
            <w:tcW w:type="dxa" w:w="6917"/>
            <w:tcMar>
              <w:top w:w="130" w:type="dxa"/>
              <w:bottom w:w="130" w:type="dxa"/>
              <w:left w:w="120" w:type="dxa"/>
              <w:right w:w="120" w:type="dxa"/>
            </w:tcMar>
          </w:tcPr>
          <w:p>
            <w:pPr>
              <w:bidi w:val="1"/>
              <w:jc w:val="right"/>
            </w:pPr>
            <w:r>
              <w:rPr>
                <w:rFonts w:ascii="Arial" w:hAnsi="Arial" w:cs="Arial" w:eastAsia="Arial"/>
                <w:b w:val="0"/>
                <w:i w:val="0"/>
                <w:color w:val="1F252B"/>
                <w:sz w:val="19"/>
                <w:szCs w:val="19"/>
                <w:rtl w:val="1"/>
              </w:rPr>
            </w:r>
          </w:p>
        </w:tc>
      </w:tr>
      <w:tr>
        <w:tc>
          <w:tcPr>
            <w:tcW w:type="dxa" w:w="2494"/>
            <w:shd w:val="clear" w:color="auto" w:fill="142B45"/>
            <w:tcMar>
              <w:top w:w="130" w:type="dxa"/>
              <w:bottom w:w="130" w:type="dxa"/>
              <w:left w:w="120" w:type="dxa"/>
              <w:right w:w="120" w:type="dxa"/>
            </w:tcMar>
          </w:tcPr>
          <w:p>
            <w:pPr>
              <w:bidi w:val="1"/>
              <w:jc w:val="right"/>
            </w:pPr>
            <w:r>
              <w:rPr>
                <w:rFonts w:ascii="Arial" w:hAnsi="Arial" w:cs="Arial" w:eastAsia="Arial"/>
                <w:b/>
                <w:i w:val="0"/>
                <w:color w:val="FFFFFF"/>
                <w:sz w:val="19"/>
                <w:szCs w:val="19"/>
                <w:rtl w:val="1"/>
              </w:rPr>
              <w:t>الختم</w:t>
            </w:r>
          </w:p>
        </w:tc>
        <w:tc>
          <w:tcPr>
            <w:tcW w:type="dxa" w:w="6917"/>
            <w:tcMar>
              <w:top w:w="130" w:type="dxa"/>
              <w:bottom w:w="130" w:type="dxa"/>
              <w:left w:w="120" w:type="dxa"/>
              <w:right w:w="120" w:type="dxa"/>
            </w:tcMar>
          </w:tcPr>
          <w:p>
            <w:pPr>
              <w:bidi w:val="1"/>
              <w:jc w:val="right"/>
            </w:pPr>
            <w:r>
              <w:rPr>
                <w:rFonts w:ascii="Arial" w:hAnsi="Arial" w:cs="Arial" w:eastAsia="Arial"/>
                <w:b w:val="0"/>
                <w:i w:val="0"/>
                <w:color w:val="1F252B"/>
                <w:sz w:val="19"/>
                <w:szCs w:val="19"/>
                <w:rtl w:val="1"/>
              </w:rPr>
            </w:r>
          </w:p>
        </w:tc>
      </w:tr>
      <w:tr>
        <w:tc>
          <w:tcPr>
            <w:tcW w:type="dxa" w:w="2494"/>
            <w:shd w:val="clear" w:color="auto" w:fill="142B45"/>
            <w:tcMar>
              <w:top w:w="130" w:type="dxa"/>
              <w:bottom w:w="130" w:type="dxa"/>
              <w:left w:w="120" w:type="dxa"/>
              <w:right w:w="120" w:type="dxa"/>
            </w:tcMar>
          </w:tcPr>
          <w:p>
            <w:pPr>
              <w:bidi w:val="1"/>
              <w:jc w:val="right"/>
            </w:pPr>
            <w:r>
              <w:rPr>
                <w:rFonts w:ascii="Arial" w:hAnsi="Arial" w:cs="Arial" w:eastAsia="Arial"/>
                <w:b/>
                <w:i w:val="0"/>
                <w:color w:val="FFFFFF"/>
                <w:sz w:val="19"/>
                <w:szCs w:val="19"/>
                <w:rtl w:val="1"/>
              </w:rPr>
              <w:t>التاريخ</w:t>
            </w:r>
          </w:p>
        </w:tc>
        <w:tc>
          <w:tcPr>
            <w:tcW w:type="dxa" w:w="6917"/>
            <w:tcMar>
              <w:top w:w="130" w:type="dxa"/>
              <w:bottom w:w="130" w:type="dxa"/>
              <w:left w:w="120" w:type="dxa"/>
              <w:right w:w="120" w:type="dxa"/>
            </w:tcMar>
          </w:tcPr>
          <w:p>
            <w:pPr>
              <w:bidi w:val="1"/>
              <w:jc w:val="right"/>
            </w:pPr>
            <w:r>
              <w:rPr>
                <w:rFonts w:ascii="Arial" w:hAnsi="Arial" w:cs="Arial" w:eastAsia="Arial"/>
                <w:b w:val="0"/>
                <w:i w:val="0"/>
                <w:color w:val="1F252B"/>
                <w:sz w:val="19"/>
                <w:szCs w:val="19"/>
                <w:rtl w:val="1"/>
              </w:rPr>
              <w:t xml:space="preserve">    /    / 2026م</w:t>
            </w:r>
          </w:p>
        </w:tc>
      </w:tr>
    </w:tbl>
    <w:p>
      <w:pPr>
        <w:keepNext/>
        <w:pBdr>
          <w:bottom w:val="single" w:sz="8" w:space="4" w:color="9C7B3F"/>
        </w:pBdr>
        <w:bidi w:val="1"/>
        <w:spacing w:before="0" w:after="40" w:line="276" w:lineRule="auto"/>
        <w:jc w:val="both"/>
        <w:outlineLvl w:val="0"/>
      </w:pPr>
      <w:r>
        <w:rPr>
          <w:rFonts w:ascii="Arial" w:hAnsi="Arial" w:cs="Arial" w:eastAsia="Arial"/>
          <w:b/>
          <w:i w:val="0"/>
          <w:color w:val="9C7B3F"/>
          <w:sz w:val="30"/>
          <w:szCs w:val="30"/>
          <w:rtl w:val="1"/>
        </w:rPr>
        <w:t xml:space="preserve">أ   </w:t>
      </w:r>
      <w:r>
        <w:rPr>
          <w:rFonts w:ascii="Arial" w:hAnsi="Arial" w:cs="Arial" w:eastAsia="Arial"/>
          <w:b/>
          <w:i w:val="0"/>
          <w:color w:val="142B45"/>
          <w:sz w:val="32"/>
          <w:szCs w:val="32"/>
          <w:rtl w:val="1"/>
        </w:rPr>
        <w:t>الملحق (أ) — تحليل بناء سعر الفدان</w:t>
      </w:r>
    </w:p>
    <w:tbl>
      <w:tblPr>
        <w:bidiVisual/>
        <w:tblW w:type="auto" w:w="0"/>
        <w:tblBorders>
          <w:top w:val="single" w:sz="4" w:space="0" w:color="9C7B3F"/>
          <w:left w:val="single" w:sz="4" w:space="0" w:color="9C7B3F"/>
          <w:bottom w:val="single" w:sz="4" w:space="0" w:color="9C7B3F"/>
          <w:right w:val="single" w:sz="4" w:space="0" w:color="9C7B3F"/>
        </w:tblBorders>
        <w:tblLayout w:type="fixed"/>
        <w:tblLook w:firstColumn="1" w:firstRow="1" w:lastColumn="0" w:lastRow="0" w:noHBand="0" w:noVBand="1" w:val="04A0"/>
      </w:tblPr>
      <w:tblGrid>
        <w:gridCol w:w="9411"/>
      </w:tblGrid>
      <w:tr>
        <w:tc>
          <w:tcPr>
            <w:tcW w:type="dxa" w:w="9411"/>
            <w:shd w:val="clear" w:color="auto" w:fill="FAF6EC"/>
            <w:tcMar>
              <w:top w:w="130" w:type="dxa"/>
              <w:bottom w:w="130" w:type="dxa"/>
              <w:left w:w="180" w:type="dxa"/>
              <w:right w:w="180" w:type="dxa"/>
            </w:tcMar>
          </w:tcPr>
          <w:p>
            <w:pPr>
              <w:bidi w:val="1"/>
              <w:spacing w:after="60" w:line="288" w:lineRule="auto"/>
              <w:jc w:val="right"/>
            </w:pPr>
            <w:r>
              <w:rPr>
                <w:rFonts w:ascii="Arial" w:hAnsi="Arial" w:cs="Arial" w:eastAsia="Arial"/>
                <w:b/>
                <w:i w:val="0"/>
                <w:color w:val="142B45"/>
                <w:sz w:val="21"/>
                <w:szCs w:val="21"/>
                <w:rtl w:val="1"/>
              </w:rPr>
              <w:t>مستند داخلي — لا يُقدَّم إلا عند طلب الوزارة</w:t>
            </w:r>
          </w:p>
          <w:p>
            <w:pPr>
              <w:bidi w:val="1"/>
              <w:spacing w:after="0" w:line="324" w:lineRule="auto"/>
              <w:jc w:val="both"/>
            </w:pPr>
            <w:r>
              <w:rPr>
                <w:rFonts w:ascii="Arial" w:hAnsi="Arial" w:cs="Arial" w:eastAsia="Arial"/>
                <w:b w:val="0"/>
                <w:i w:val="0"/>
                <w:color w:val="1F252B"/>
                <w:sz w:val="19"/>
                <w:szCs w:val="19"/>
                <w:rtl w:val="1"/>
              </w:rPr>
              <w:t>هذا التحليل أُعدّ لبناء السعر داخلياً، ولا يُرفق مع العرض. ويُقدَّم فقط إذا طلبت الوزارة تحليلاً تفصيلياً لأسعار الوحدات وفق البند (2.1.18) أو (2.1.15).</w:t>
            </w:r>
          </w:p>
        </w:tc>
      </w:tr>
    </w:tbl>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5443"/>
        <w:gridCol w:w="1928"/>
        <w:gridCol w:w="2041"/>
      </w:tblGrid>
      <w:tr>
        <w:trPr>
          <w:cantSplit/>
          <w:tblHeader/>
        </w:trPr>
        <w:tc>
          <w:tcPr>
            <w:tcW w:type="dxa" w:w="5443"/>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بند التكلفة السنوية</w:t>
            </w:r>
          </w:p>
        </w:tc>
        <w:tc>
          <w:tcPr>
            <w:tcW w:type="dxa" w:w="1928"/>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الكلفة (ر.ع)</w:t>
            </w:r>
          </w:p>
        </w:tc>
        <w:tc>
          <w:tcPr>
            <w:tcW w:type="dxa" w:w="2041"/>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للفدان عند 20,000 فدان</w:t>
            </w:r>
          </w:p>
        </w:tc>
      </w:tr>
      <w:tr>
        <w:trPr>
          <w:cantSplit/>
        </w:trPr>
        <w:tc>
          <w:tcPr>
            <w:tcW w:type="dxa" w:w="5443"/>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تشغيل الفرق الميدانية (30 فرداً × 3 أشهر × 650 ر.ع)</w:t>
            </w:r>
          </w:p>
        </w:tc>
        <w:tc>
          <w:tcPr>
            <w:tcW w:type="dxa" w:w="192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58,500.000</w:t>
            </w:r>
          </w:p>
        </w:tc>
        <w:tc>
          <w:tcPr>
            <w:tcW w:type="dxa" w:w="204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2.925</w:t>
            </w:r>
          </w:p>
        </w:tc>
      </w:tr>
      <w:tr>
        <w:trPr>
          <w:cantSplit/>
        </w:trPr>
        <w:tc>
          <w:tcPr>
            <w:tcW w:type="dxa" w:w="5443"/>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الإشراف والإدارة والامتثال (4 وظائف × 9 أشهر × 850 ر.ع)</w:t>
            </w:r>
          </w:p>
        </w:tc>
        <w:tc>
          <w:tcPr>
            <w:tcW w:type="dxa" w:w="192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30,600.000</w:t>
            </w:r>
          </w:p>
        </w:tc>
        <w:tc>
          <w:tcPr>
            <w:tcW w:type="dxa" w:w="204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1.530</w:t>
            </w:r>
          </w:p>
        </w:tc>
      </w:tr>
      <w:tr>
        <w:trPr>
          <w:cantSplit/>
        </w:trPr>
        <w:tc>
          <w:tcPr>
            <w:tcW w:type="dxa" w:w="5443"/>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أسطول الطائرات: إهلاك 20 طائرة على خمس سنوات</w:t>
            </w:r>
          </w:p>
        </w:tc>
        <w:tc>
          <w:tcPr>
            <w:tcW w:type="dxa" w:w="192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32,000.000</w:t>
            </w:r>
          </w:p>
        </w:tc>
        <w:tc>
          <w:tcPr>
            <w:tcW w:type="dxa" w:w="204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1.600</w:t>
            </w:r>
          </w:p>
        </w:tc>
      </w:tr>
      <w:tr>
        <w:trPr>
          <w:cantSplit/>
        </w:trPr>
        <w:tc>
          <w:tcPr>
            <w:tcW w:type="dxa" w:w="5443"/>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صيانة وقطع غيار وإصلاح أعطال</w:t>
            </w:r>
          </w:p>
        </w:tc>
        <w:tc>
          <w:tcPr>
            <w:tcW w:type="dxa" w:w="192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14,000.000</w:t>
            </w:r>
          </w:p>
        </w:tc>
        <w:tc>
          <w:tcPr>
            <w:tcW w:type="dxa" w:w="204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0.700</w:t>
            </w:r>
          </w:p>
        </w:tc>
      </w:tr>
      <w:tr>
        <w:trPr>
          <w:cantSplit/>
        </w:trPr>
        <w:tc>
          <w:tcPr>
            <w:tcW w:type="dxa" w:w="5443"/>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بطاريات ومجموعات شحن وبشابير ومعايرة</w:t>
            </w:r>
          </w:p>
        </w:tc>
        <w:tc>
          <w:tcPr>
            <w:tcW w:type="dxa" w:w="192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12,000.000</w:t>
            </w:r>
          </w:p>
        </w:tc>
        <w:tc>
          <w:tcPr>
            <w:tcW w:type="dxa" w:w="204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0.600</w:t>
            </w:r>
          </w:p>
        </w:tc>
      </w:tr>
      <w:tr>
        <w:trPr>
          <w:cantSplit/>
        </w:trPr>
        <w:tc>
          <w:tcPr>
            <w:tcW w:type="dxa" w:w="5443"/>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السيارات: إيجار 17 سيارة × شهرين ونصف</w:t>
            </w:r>
          </w:p>
        </w:tc>
        <w:tc>
          <w:tcPr>
            <w:tcW w:type="dxa" w:w="192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34,000.000</w:t>
            </w:r>
          </w:p>
        </w:tc>
        <w:tc>
          <w:tcPr>
            <w:tcW w:type="dxa" w:w="204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1.700</w:t>
            </w:r>
          </w:p>
        </w:tc>
      </w:tr>
      <w:tr>
        <w:trPr>
          <w:cantSplit/>
        </w:trPr>
        <w:tc>
          <w:tcPr>
            <w:tcW w:type="dxa" w:w="5443"/>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وقود السيارات (17,000 لتر × 0.240 ر.ع)</w:t>
            </w:r>
          </w:p>
        </w:tc>
        <w:tc>
          <w:tcPr>
            <w:tcW w:type="dxa" w:w="192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4,080.000</w:t>
            </w:r>
          </w:p>
        </w:tc>
        <w:tc>
          <w:tcPr>
            <w:tcW w:type="dxa" w:w="204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0.204</w:t>
            </w:r>
          </w:p>
        </w:tc>
      </w:tr>
      <w:tr>
        <w:trPr>
          <w:cantSplit/>
        </w:trPr>
        <w:tc>
          <w:tcPr>
            <w:tcW w:type="dxa" w:w="5443"/>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تأمين وتراخيص وبرمجيات وتصاريح</w:t>
            </w:r>
          </w:p>
        </w:tc>
        <w:tc>
          <w:tcPr>
            <w:tcW w:type="dxa" w:w="192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10,000.000</w:t>
            </w:r>
          </w:p>
        </w:tc>
        <w:tc>
          <w:tcPr>
            <w:tcW w:type="dxa" w:w="204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0.500</w:t>
            </w:r>
          </w:p>
        </w:tc>
      </w:tr>
      <w:tr>
        <w:trPr>
          <w:cantSplit/>
        </w:trPr>
        <w:tc>
          <w:tcPr>
            <w:tcW w:type="dxa" w:w="5443"/>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إجمالي الكلفة الثابتة</w:t>
            </w:r>
          </w:p>
        </w:tc>
        <w:tc>
          <w:tcPr>
            <w:tcW w:type="dxa" w:w="192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195,180.000</w:t>
            </w:r>
          </w:p>
        </w:tc>
        <w:tc>
          <w:tcPr>
            <w:tcW w:type="dxa" w:w="2041"/>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9.759</w:t>
            </w:r>
          </w:p>
        </w:tc>
      </w:tr>
      <w:tr>
        <w:trPr>
          <w:cantSplit/>
        </w:trPr>
        <w:tc>
          <w:tcPr>
            <w:tcW w:type="dxa" w:w="5443"/>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الكلفة المتغيرة للفدان (مستهلكات وأيام طيران إضافية)</w:t>
            </w:r>
          </w:p>
        </w:tc>
        <w:tc>
          <w:tcPr>
            <w:tcW w:type="dxa" w:w="1928"/>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w:t>
            </w:r>
          </w:p>
        </w:tc>
        <w:tc>
          <w:tcPr>
            <w:tcW w:type="dxa" w:w="2041"/>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1.050</w:t>
            </w:r>
          </w:p>
        </w:tc>
      </w:tr>
    </w:tbl>
    <w:p>
      <w:pPr>
        <w:bidi w:val="1"/>
        <w:spacing w:before="0" w:after="120" w:line="348" w:lineRule="auto"/>
        <w:jc w:val="both"/>
      </w:pPr>
      <w:r>
        <w:rPr>
          <w:rFonts w:ascii="Arial" w:hAnsi="Arial" w:cs="Arial" w:eastAsia="Arial"/>
          <w:b w:val="0"/>
          <w:i w:val="0"/>
          <w:color w:val="1F252B"/>
          <w:sz w:val="18"/>
          <w:szCs w:val="18"/>
          <w:rtl w:val="1"/>
        </w:rPr>
        <w:t>بإضافة المصاريف العامة والإدارية بنسبة 8% على مجموع الكلفة الثابتة الموزّعة والكلفة المتغيرة، يبلغ إجمالي الكلفة الكاملة للفدان عند الحد الأدنى للفئة الأولى 11.674 ريالاً عُمانياً. وسعر العرض البالغ 12.750 ريالاً يترك هامشاً صافياً بنسبة 8.4% — وهو هامش متحفظ مقصود، لأن أي زيادة في الهامش ترفع خطر الاستبعاد لمخالفة معيار العطاءات المبالغ فيها، ولأن الكلفة الفعلية للطيران أقل من الكلفة الفعلية للوجستيات والامتثال.</w:t>
      </w:r>
    </w:p>
    <w:p>
      <w:pPr>
        <w:keepNext/>
        <w:bidi w:val="1"/>
        <w:spacing w:before="280" w:after="80" w:line="288" w:lineRule="auto"/>
        <w:jc w:val="both"/>
      </w:pPr>
      <w:r>
        <w:rPr>
          <w:rFonts w:ascii="Arial" w:hAnsi="Arial" w:cs="Arial" w:eastAsia="Arial"/>
          <w:b/>
          <w:i w:val="0"/>
          <w:color w:val="142B45"/>
          <w:sz w:val="25"/>
          <w:szCs w:val="25"/>
          <w:rtl w:val="1"/>
        </w:rPr>
        <w:t>أ.1 أثر المساحة على الكلفة وسعر الفدان</w:t>
      </w:r>
    </w:p>
    <w:tbl>
      <w:tblPr>
        <w:bidiVisual/>
        <w:tblW w:type="auto" w:w="0"/>
        <w:jc w:val="center"/>
        <w:tblBorders>
          <w:top w:val="single" w:sz="4" w:space="0" w:color="D5DCE3"/>
          <w:left w:val="single" w:sz="4" w:space="0" w:color="D5DCE3"/>
          <w:bottom w:val="single" w:sz="4" w:space="0" w:color="D5DCE3"/>
          <w:right w:val="single" w:sz="4" w:space="0" w:color="D5DCE3"/>
          <w:insideH w:val="single" w:sz="4" w:space="0" w:color="D5DCE3"/>
          <w:insideV w:val="single" w:sz="4" w:space="0" w:color="D5DCE3"/>
        </w:tblBorders>
        <w:tblLayout w:type="fixed"/>
        <w:tblLook w:firstColumn="1" w:firstRow="1" w:lastColumn="0" w:lastRow="0" w:noHBand="0" w:noVBand="1" w:val="04A0"/>
      </w:tblPr>
      <w:tblGrid>
        <w:gridCol w:w="1814"/>
        <w:gridCol w:w="1474"/>
        <w:gridCol w:w="1587"/>
        <w:gridCol w:w="1814"/>
        <w:gridCol w:w="1587"/>
        <w:gridCol w:w="1134"/>
      </w:tblGrid>
      <w:tr>
        <w:trPr>
          <w:cantSplit/>
          <w:tblHeader/>
        </w:trPr>
        <w:tc>
          <w:tcPr>
            <w:tcW w:type="dxa" w:w="181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الفئة</w:t>
            </w:r>
          </w:p>
        </w:tc>
        <w:tc>
          <w:tcPr>
            <w:tcW w:type="dxa" w:w="147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المساحة (فدان)</w:t>
            </w:r>
          </w:p>
        </w:tc>
        <w:tc>
          <w:tcPr>
            <w:tcW w:type="dxa" w:w="1587"/>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الثابتة/فدان</w:t>
            </w:r>
          </w:p>
        </w:tc>
        <w:tc>
          <w:tcPr>
            <w:tcW w:type="dxa" w:w="181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الكلفة الكاملة/فدان</w:t>
            </w:r>
          </w:p>
        </w:tc>
        <w:tc>
          <w:tcPr>
            <w:tcW w:type="dxa" w:w="1587"/>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سعر العرض/فدان</w:t>
            </w:r>
          </w:p>
        </w:tc>
        <w:tc>
          <w:tcPr>
            <w:tcW w:type="dxa" w:w="1134"/>
            <w:shd w:val="clear" w:color="auto" w:fill="142B45"/>
            <w:tcMar>
              <w:top w:w="70" w:type="dxa"/>
              <w:bottom w:w="70" w:type="dxa"/>
              <w:left w:w="110" w:type="dxa"/>
              <w:right w:w="110" w:type="dxa"/>
            </w:tcMar>
          </w:tcPr>
          <w:p>
            <w:pPr>
              <w:bidi w:val="1"/>
              <w:spacing w:after="0" w:line="264" w:lineRule="auto"/>
              <w:jc w:val="center"/>
            </w:pPr>
            <w:r>
              <w:rPr>
                <w:rFonts w:ascii="Arial" w:hAnsi="Arial" w:cs="Arial" w:eastAsia="Arial"/>
                <w:b/>
                <w:i w:val="0"/>
                <w:color w:val="FFFFFF"/>
                <w:sz w:val="19"/>
                <w:szCs w:val="19"/>
                <w:rtl w:val="1"/>
              </w:rPr>
              <w:t>الهامش</w:t>
            </w:r>
          </w:p>
        </w:tc>
      </w:tr>
      <w:tr>
        <w:trPr>
          <w:cantSplit/>
        </w:trPr>
        <w:tc>
          <w:tcPr>
            <w:tcW w:type="dxa" w:w="181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الأولى</w:t>
            </w:r>
          </w:p>
        </w:tc>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20,000</w:t>
            </w:r>
          </w:p>
        </w:tc>
        <w:tc>
          <w:tcPr>
            <w:tcW w:type="dxa" w:w="158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9.759</w:t>
            </w:r>
          </w:p>
        </w:tc>
        <w:tc>
          <w:tcPr>
            <w:tcW w:type="dxa" w:w="181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11.674</w:t>
            </w:r>
          </w:p>
        </w:tc>
        <w:tc>
          <w:tcPr>
            <w:tcW w:type="dxa" w:w="158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12.750</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8.4%</w:t>
            </w:r>
          </w:p>
        </w:tc>
      </w:tr>
      <w:tr>
        <w:trPr>
          <w:cantSplit/>
        </w:trPr>
        <w:tc>
          <w:tcPr>
            <w:tcW w:type="dxa" w:w="1814"/>
            <w:shd w:val="clear" w:color="auto" w:fill="F2F5F8"/>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الثانية</w:t>
            </w:r>
          </w:p>
        </w:tc>
        <w:tc>
          <w:tcPr>
            <w:tcW w:type="dxa" w:w="147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30,001</w:t>
            </w:r>
          </w:p>
        </w:tc>
        <w:tc>
          <w:tcPr>
            <w:tcW w:type="dxa" w:w="158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6.506</w:t>
            </w:r>
          </w:p>
        </w:tc>
        <w:tc>
          <w:tcPr>
            <w:tcW w:type="dxa" w:w="181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8.160</w:t>
            </w:r>
          </w:p>
        </w:tc>
        <w:tc>
          <w:tcPr>
            <w:tcW w:type="dxa" w:w="1587"/>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9.000</w:t>
            </w:r>
          </w:p>
        </w:tc>
        <w:tc>
          <w:tcPr>
            <w:tcW w:type="dxa" w:w="1134"/>
            <w:shd w:val="clear" w:color="auto" w:fill="F2F5F8"/>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9.3%</w:t>
            </w:r>
          </w:p>
        </w:tc>
      </w:tr>
      <w:tr>
        <w:trPr>
          <w:cantSplit/>
        </w:trPr>
        <w:tc>
          <w:tcPr>
            <w:tcW w:type="dxa" w:w="1814"/>
            <w:tcMar>
              <w:top w:w="70" w:type="dxa"/>
              <w:bottom w:w="70" w:type="dxa"/>
              <w:left w:w="110" w:type="dxa"/>
              <w:right w:w="110" w:type="dxa"/>
            </w:tcMar>
          </w:tcPr>
          <w:p>
            <w:pPr>
              <w:bidi w:val="1"/>
              <w:spacing w:after="0" w:line="288" w:lineRule="auto"/>
              <w:jc w:val="right"/>
            </w:pPr>
            <w:r>
              <w:rPr>
                <w:rFonts w:ascii="Arial" w:hAnsi="Arial" w:cs="Arial" w:eastAsia="Arial"/>
                <w:b w:val="0"/>
                <w:i w:val="0"/>
                <w:color w:val="1F252B"/>
                <w:sz w:val="17"/>
                <w:szCs w:val="17"/>
                <w:rtl w:val="1"/>
              </w:rPr>
              <w:t>الفئة الثالثة</w:t>
            </w:r>
          </w:p>
        </w:tc>
        <w:tc>
          <w:tcPr>
            <w:tcW w:type="dxa" w:w="147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40,001</w:t>
            </w:r>
          </w:p>
        </w:tc>
        <w:tc>
          <w:tcPr>
            <w:tcW w:type="dxa" w:w="158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4.879</w:t>
            </w:r>
          </w:p>
        </w:tc>
        <w:tc>
          <w:tcPr>
            <w:tcW w:type="dxa" w:w="181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6.404</w:t>
            </w:r>
          </w:p>
        </w:tc>
        <w:tc>
          <w:tcPr>
            <w:tcW w:type="dxa" w:w="1587"/>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7.050</w:t>
            </w:r>
          </w:p>
        </w:tc>
        <w:tc>
          <w:tcPr>
            <w:tcW w:type="dxa" w:w="1134"/>
            <w:tcMar>
              <w:top w:w="70" w:type="dxa"/>
              <w:bottom w:w="70" w:type="dxa"/>
              <w:left w:w="110" w:type="dxa"/>
              <w:right w:w="110" w:type="dxa"/>
            </w:tcMar>
          </w:tcPr>
          <w:p>
            <w:pPr>
              <w:bidi w:val="1"/>
              <w:spacing w:after="0" w:line="288" w:lineRule="auto"/>
              <w:jc w:val="center"/>
            </w:pPr>
            <w:r>
              <w:rPr>
                <w:rFonts w:ascii="Arial" w:hAnsi="Arial" w:cs="Arial" w:eastAsia="Arial"/>
                <w:b w:val="0"/>
                <w:i w:val="0"/>
                <w:color w:val="1F252B"/>
                <w:sz w:val="17"/>
                <w:szCs w:val="17"/>
                <w:rtl w:val="1"/>
              </w:rPr>
              <w:t>9.2%</w:t>
            </w:r>
          </w:p>
        </w:tc>
      </w:tr>
    </w:tbl>
    <w:p>
      <w:pPr>
        <w:bidi w:val="1"/>
        <w:spacing w:before="0" w:after="120" w:line="348" w:lineRule="auto"/>
        <w:jc w:val="both"/>
      </w:pPr>
      <w:r>
        <w:rPr>
          <w:rFonts w:ascii="Arial" w:hAnsi="Arial" w:cs="Arial" w:eastAsia="Arial"/>
          <w:b w:val="0"/>
          <w:i w:val="0"/>
          <w:color w:val="1F252B"/>
          <w:sz w:val="18"/>
          <w:szCs w:val="18"/>
          <w:rtl w:val="1"/>
        </w:rPr>
        <w:t>النتيجة التي يجب أن تُقرأ من هذا الجدول أن الهامش شبه ثابت بين الفئات الثلاث (بين 8.4% و9.3%)، وأن انخفاض سعر الفدان في الفئة الثالثة ليس تخفيضاً تجارياً بل انعكاس لتوزيع الكلفة الثابتة نفسها على مساحة أكبر. ولو اعتمدنا سعراً موحداً للفئات الثلاث لكان إما مبالغاً في الفئة الكبيرة أو خاسراً في الفئة الصغيرة.</w:t>
      </w:r>
    </w:p>
    <w:p>
      <w:pPr>
        <w:keepNext/>
        <w:bidi w:val="1"/>
        <w:spacing w:before="280" w:after="80" w:line="288" w:lineRule="auto"/>
        <w:jc w:val="both"/>
      </w:pPr>
      <w:r>
        <w:rPr>
          <w:rFonts w:ascii="Arial" w:hAnsi="Arial" w:cs="Arial" w:eastAsia="Arial"/>
          <w:b/>
          <w:i w:val="0"/>
          <w:color w:val="142B45"/>
          <w:sz w:val="25"/>
          <w:szCs w:val="25"/>
          <w:rtl w:val="1"/>
        </w:rPr>
        <w:t>أ.2 المدخلات التي يجب أن تُحدَّث من واقع الشركة</w:t>
      </w:r>
    </w:p>
    <w:p>
      <w:pPr>
        <w:bidi w:val="1"/>
        <w:spacing w:before="0" w:after="60" w:line="324" w:lineRule="auto"/>
        <w:ind w:left="312"/>
        <w:jc w:val="both"/>
      </w:pPr>
      <w:r>
        <w:rPr>
          <w:rFonts w:ascii="Arial" w:hAnsi="Arial" w:cs="Arial" w:eastAsia="Arial"/>
          <w:b/>
          <w:i w:val="0"/>
          <w:color w:val="9C7B3F"/>
          <w:sz w:val="18"/>
          <w:szCs w:val="18"/>
          <w:rtl w:val="1"/>
        </w:rPr>
        <w:t xml:space="preserve">▪  </w:t>
      </w:r>
      <w:r>
        <w:rPr>
          <w:rFonts w:ascii="Arial" w:hAnsi="Arial" w:cs="Arial" w:eastAsia="Arial"/>
          <w:b w:val="0"/>
          <w:i w:val="0"/>
          <w:color w:val="1F252B"/>
          <w:sz w:val="18"/>
          <w:szCs w:val="18"/>
          <w:rtl w:val="1"/>
        </w:rPr>
        <w:t>سعر شراء الطائرة الواحدة وعمرها الإهلاكي وبرنامج الصيانة المعتمد من المصنع.</w:t>
      </w:r>
    </w:p>
    <w:p>
      <w:pPr>
        <w:bidi w:val="1"/>
        <w:spacing w:before="0" w:after="60" w:line="324" w:lineRule="auto"/>
        <w:ind w:left="312"/>
        <w:jc w:val="both"/>
      </w:pPr>
      <w:r>
        <w:rPr>
          <w:rFonts w:ascii="Arial" w:hAnsi="Arial" w:cs="Arial" w:eastAsia="Arial"/>
          <w:b/>
          <w:i w:val="0"/>
          <w:color w:val="9C7B3F"/>
          <w:sz w:val="18"/>
          <w:szCs w:val="18"/>
          <w:rtl w:val="1"/>
        </w:rPr>
        <w:t xml:space="preserve">▪  </w:t>
      </w:r>
      <w:r>
        <w:rPr>
          <w:rFonts w:ascii="Arial" w:hAnsi="Arial" w:cs="Arial" w:eastAsia="Arial"/>
          <w:b w:val="0"/>
          <w:i w:val="0"/>
          <w:color w:val="1F252B"/>
          <w:sz w:val="18"/>
          <w:szCs w:val="18"/>
          <w:rtl w:val="1"/>
        </w:rPr>
        <w:t>متوسط الكلفة الشهرية للفرد العماني شاملاً الأجور والبدلات والتأمينات الاجتماعية.</w:t>
      </w:r>
    </w:p>
    <w:p>
      <w:pPr>
        <w:bidi w:val="1"/>
        <w:spacing w:before="0" w:after="60" w:line="324" w:lineRule="auto"/>
        <w:ind w:left="312"/>
        <w:jc w:val="both"/>
      </w:pPr>
      <w:r>
        <w:rPr>
          <w:rFonts w:ascii="Arial" w:hAnsi="Arial" w:cs="Arial" w:eastAsia="Arial"/>
          <w:b/>
          <w:i w:val="0"/>
          <w:color w:val="9C7B3F"/>
          <w:sz w:val="18"/>
          <w:szCs w:val="18"/>
          <w:rtl w:val="1"/>
        </w:rPr>
        <w:t xml:space="preserve">▪  </w:t>
      </w:r>
      <w:r>
        <w:rPr>
          <w:rFonts w:ascii="Arial" w:hAnsi="Arial" w:cs="Arial" w:eastAsia="Arial"/>
          <w:b w:val="0"/>
          <w:i w:val="0"/>
          <w:color w:val="1F252B"/>
          <w:sz w:val="18"/>
          <w:szCs w:val="18"/>
          <w:rtl w:val="1"/>
        </w:rPr>
        <w:t>كلفة إيجار السيارة الدفع الرباعي ووقودها في الولايات المستهدفة.</w:t>
      </w:r>
    </w:p>
    <w:p>
      <w:pPr>
        <w:bidi w:val="1"/>
        <w:spacing w:before="0" w:after="60" w:line="324" w:lineRule="auto"/>
        <w:ind w:left="312"/>
        <w:jc w:val="both"/>
      </w:pPr>
      <w:r>
        <w:rPr>
          <w:rFonts w:ascii="Arial" w:hAnsi="Arial" w:cs="Arial" w:eastAsia="Arial"/>
          <w:b/>
          <w:i w:val="0"/>
          <w:color w:val="9C7B3F"/>
          <w:sz w:val="18"/>
          <w:szCs w:val="18"/>
          <w:rtl w:val="1"/>
        </w:rPr>
        <w:t xml:space="preserve">▪  </w:t>
      </w:r>
      <w:r>
        <w:rPr>
          <w:rFonts w:ascii="Arial" w:hAnsi="Arial" w:cs="Arial" w:eastAsia="Arial"/>
          <w:b w:val="0"/>
          <w:i w:val="0"/>
          <w:color w:val="1F252B"/>
          <w:sz w:val="18"/>
          <w:szCs w:val="18"/>
          <w:rtl w:val="1"/>
        </w:rPr>
        <w:t>عدد أيام التشغيل الفعلية في الموسم بعد استبعاد أيام الطقس غير القابلة للطيران.</w:t>
      </w:r>
    </w:p>
    <w:p>
      <w:pPr>
        <w:bidi w:val="1"/>
        <w:spacing w:before="0" w:after="60" w:line="324" w:lineRule="auto"/>
        <w:ind w:left="312"/>
        <w:jc w:val="both"/>
      </w:pPr>
      <w:r>
        <w:rPr>
          <w:rFonts w:ascii="Arial" w:hAnsi="Arial" w:cs="Arial" w:eastAsia="Arial"/>
          <w:b/>
          <w:i w:val="0"/>
          <w:color w:val="9C7B3F"/>
          <w:sz w:val="18"/>
          <w:szCs w:val="18"/>
          <w:rtl w:val="1"/>
        </w:rPr>
        <w:t xml:space="preserve">▪  </w:t>
      </w:r>
      <w:r>
        <w:rPr>
          <w:rFonts w:ascii="Arial" w:hAnsi="Arial" w:cs="Arial" w:eastAsia="Arial"/>
          <w:b w:val="0"/>
          <w:i w:val="0"/>
          <w:color w:val="1F252B"/>
          <w:sz w:val="18"/>
          <w:szCs w:val="18"/>
          <w:rtl w:val="1"/>
        </w:rPr>
        <w:t>نسبة المصاريف العامة المعتمدة من الإدارة المالية، وحد التمويل البنكي وكلفته.</w:t>
      </w:r>
    </w:p>
    <w:sectPr w:rsidR="00FC693F" w:rsidRPr="0006063C" w:rsidSect="00034616">
      <w:headerReference w:type="default" r:id="rId9"/>
      <w:footerReference w:type="default" r:id="rId10"/>
      <w:pgSz w:w="11906" w:h="16838"/>
      <w:pgMar w:top="1191" w:right="1247" w:bottom="1077" w:left="1247"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rial" w:hAnsi="Arial" w:cs="Arial" w:eastAsia="Arial"/>
        <w:b w:val="0"/>
        <w:i w:val="0"/>
        <w:color w:val="59626A"/>
        <w:sz w:val="16"/>
        <w:szCs w:val="16"/>
        <w:rtl w:val="1"/>
      </w:rPr>
      <w:t xml:space="preserve">صفحة </w:t>
    </w:r>
    <w:r>
      <w:fldChar w:fldCharType="begin"/>
    </w:r>
    <w:r>
      <w:instrText xml:space="preserve">PAGE</w:instrText>
    </w:r>
    <w:r>
      <w:fldChar w:fldCharType="end"/>
    </w:r>
    <w:r>
      <w:rPr>
        <w:rFonts w:ascii="Arial" w:hAnsi="Arial" w:cs="Arial" w:eastAsia="Arial"/>
        <w:b w:val="0"/>
        <w:i w:val="0"/>
        <w:color w:val="59626A"/>
        <w:sz w:val="16"/>
        <w:szCs w:val="16"/>
        <w:rtl w:val="1"/>
      </w:rPr>
      <w:t xml:space="preserve"> من </w:t>
    </w:r>
    <w:r>
      <w:fldChar w:fldCharType="begin"/>
    </w:r>
    <w:r>
      <w:instrText xml:space="preserve">NUMPAGES</w:instrText>
    </w:r>
    <w:r>
      <w:fldChar w:fldCharType="end"/>
    </w:r>
    <w:r>
      <w:rPr>
        <w:rFonts w:ascii="Arial" w:hAnsi="Arial" w:cs="Arial" w:eastAsia="Arial"/>
        <w:b w:val="0"/>
        <w:i w:val="0"/>
        <w:color w:val="59626A"/>
        <w:sz w:val="16"/>
        <w:szCs w:val="16"/>
        <w:rtl w:val="1"/>
      </w:rPr>
      <w:t xml:space="preserve">   |   شركة المملكة للخدمات والاستثمار ش.م.م (Kingdom Services &amp; Investment LLC)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D5DCE3"/>
      </w:pBdr>
      <w:bidi w:val="1"/>
      <w:spacing w:after="40"/>
      <w:jc w:val="center"/>
    </w:pPr>
    <w:r>
      <w:rPr>
        <w:rFonts w:ascii="Arial" w:hAnsi="Arial" w:cs="Arial" w:eastAsia="Arial"/>
        <w:b w:val="0"/>
        <w:i w:val="0"/>
        <w:color w:val="59626A"/>
        <w:sz w:val="16"/>
        <w:szCs w:val="16"/>
        <w:rtl w:val="1"/>
      </w:rPr>
      <w:t>عرض مالي — مناقصة 97513 — الرش الجوي بالطائرات المسيرة —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عرض مالي — مناقصة 97513 — الرش الجوي بالطائرات المسيرة</dc:title>
  <dc:subject>المغلف المالي — وزارة الثروة الزراعية والسمكية وموارد المياه</dc:subject>
  <dc:creator>شركة المملكة للخدمات والاستثمار ش.م.م (Kingdom Services &amp; Investment LLC)</dc:creator>
  <cp:keywords/>
  <dc:description>generated by python-docx</dc:description>
  <cp:lastModifiedBy/>
  <cp:revision>1</cp:revision>
  <dcterms:created xsi:type="dcterms:W3CDTF">2013-12-23T23:15:00Z</dcterms:created>
  <dcterms:modified xsi:type="dcterms:W3CDTF">2013-12-23T23:15:00Z</dcterms:modified>
  <cp:category>Commercial Proposal</cp:category>
  <dc:language>ar</dc:language>
</cp:coreProperties>
</file>